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1A2E5A" w:val="clear"/>
            <w:tcMar>
              <w:top w:type="dxa" w:w="80"/>
              <w:left w:type="dxa" w:w="200"/>
              <w:bottom w:type="dxa" w:w="80"/>
              <w:right w:type="dxa" w:w="200"/>
            </w:tcMar>
            <w:vAlign w:val="top"/>
          </w:tcPr>
          <w:p>
            <w:pPr>
              <w:spacing w:after="30" w:before="80"/>
              <w:jc w:val="center"/>
            </w:pPr>
            <w:r>
              <w:rPr>
                <w:rFonts w:ascii="Calibri" w:cs="Calibri" w:eastAsia="Calibri" w:hAnsi="Calibri"/>
                <w:b/>
                <w:bCs/>
                <w:i w:val="false"/>
                <w:iCs w:val="false"/>
                <w:color w:val="FFFFFF"/>
                <w:sz w:val="36"/>
                <w:szCs w:val="36"/>
              </w:rPr>
              <w:t xml:space="preserve">Acaban de decirte que tu hijo/a tiene autismo.</w:t>
            </w:r>
          </w:p>
          <w:p>
            <w:pPr>
              <w:spacing w:after="30" w:before="0"/>
              <w:jc w:val="center"/>
            </w:pPr>
            <w:r>
              <w:rPr>
                <w:rFonts w:ascii="Calibri" w:cs="Calibri" w:eastAsia="Calibri" w:hAnsi="Calibri"/>
                <w:b w:val="false"/>
                <w:bCs w:val="false"/>
                <w:i/>
                <w:iCs/>
                <w:color w:val="B2EBF2"/>
                <w:sz w:val="28"/>
                <w:szCs w:val="28"/>
              </w:rPr>
              <w:t xml:space="preserve">Respira. Estás en el lugar correcto.</w:t>
            </w:r>
          </w:p>
          <w:p>
            <w:pPr>
              <w:spacing w:after="80" w:before="0"/>
              <w:jc w:val="center"/>
            </w:pPr>
            <w:r>
              <w:rPr>
                <w:rFonts w:ascii="Calibri" w:cs="Calibri" w:eastAsia="Calibri" w:hAnsi="Calibri"/>
                <w:b w:val="false"/>
                <w:bCs w:val="false"/>
                <w:i w:val="false"/>
                <w:iCs w:val="false"/>
                <w:color w:val="80CBC4"/>
                <w:sz w:val="21"/>
                <w:szCs w:val="21"/>
              </w:rPr>
              <w:t xml:space="preserve">Esta guía es para ti: lo que sigue, a dónde ir, qué hacer y cómo estar bien en el camino.</w:t>
            </w:r>
          </w:p>
        </w:tc>
      </w:tr>
    </w:tbl>
    <w:p>
      <w:pPr>
        <w:spacing w:after="0" w:before="12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5A623" w:sz="5"/>
              <w:left w:val="single" w:color="F5A623" w:sz="5"/>
              <w:bottom w:val="single" w:color="F5A623" w:sz="5"/>
              <w:right w:val="single" w:color="F5A623" w:sz="5"/>
            </w:tcBorders>
            <w:shd w:fill="FFFDE7" w:val="clear"/>
            <w:tcMar>
              <w:top w:type="dxa" w:w="80"/>
              <w:left w:type="dxa" w:w="200"/>
              <w:bottom w:type="dxa" w:w="80"/>
              <w:right w:type="dxa" w:w="200"/>
            </w:tcMar>
            <w:vAlign w:val="top"/>
          </w:tcPr>
          <w:p>
            <w:pPr>
              <w:spacing w:after="40" w:before="20"/>
              <w:jc w:val="left"/>
            </w:pPr>
            <w:r>
              <w:rPr>
                <w:rFonts w:ascii="Calibri" w:cs="Calibri" w:eastAsia="Calibri" w:hAnsi="Calibri"/>
                <w:b/>
                <w:bCs/>
                <w:i w:val="false"/>
                <w:iCs w:val="false"/>
                <w:color w:val="00695C"/>
                <w:sz w:val="26"/>
                <w:szCs w:val="26"/>
              </w:rPr>
              <w:t xml:space="preserve">Una carta para ti, mamá o papá</w:t>
            </w:r>
          </w:p>
          <w:p>
            <w:pPr>
              <w:spacing w:after="120" w:before="0"/>
              <w:jc w:val="left"/>
            </w:pPr>
            <w:r>
              <w:rPr>
                <w:rFonts w:ascii="Calibri" w:cs="Calibri" w:eastAsia="Calibri" w:hAnsi="Calibri"/>
                <w:b w:val="false"/>
                <w:bCs w:val="false"/>
                <w:i w:val="false"/>
                <w:iCs w:val="false"/>
                <w:color w:val="263238"/>
                <w:sz w:val="23"/>
                <w:szCs w:val="23"/>
              </w:rPr>
              <w:t xml:space="preserve">Sabemos que el momento en que escuchaste el diagnóstico probablemente fue uno de los más intensos de tu vida. Tal vez sentiste miedo, confusión, tristeza, o incluso alivio de finalmente tener una respuesta. Todo eso es completamente válido.</w:t>
            </w:r>
          </w:p>
          <w:p>
            <w:pPr>
              <w:spacing w:after="120" w:before="0"/>
              <w:jc w:val="left"/>
            </w:pPr>
            <w:r>
              <w:rPr>
                <w:rFonts w:ascii="Calibri" w:cs="Calibri" w:eastAsia="Calibri" w:hAnsi="Calibri"/>
                <w:b w:val="false"/>
                <w:bCs w:val="false"/>
                <w:i w:val="false"/>
                <w:iCs w:val="false"/>
                <w:color w:val="263238"/>
                <w:sz w:val="23"/>
                <w:szCs w:val="23"/>
              </w:rPr>
              <w:t xml:space="preserve">Queremos que sepas algo importante desde el principio: el autismo no es una tragedia. Es una forma diferente de procesar el mundo, de sentir, de aprender y de relacionarse. Tu hijo/a sigue siendo el mismo niño/a que amabas ayer antes de escuchar esa palabra. El diagnóstico no lo cambia a él o ella. Puede cambiar, para mejor, el apoyo que recibe.</w:t>
            </w:r>
          </w:p>
          <w:p>
            <w:pPr>
              <w:spacing w:after="120" w:before="0"/>
              <w:jc w:val="left"/>
            </w:pPr>
            <w:r>
              <w:rPr>
                <w:rFonts w:ascii="Calibri" w:cs="Calibri" w:eastAsia="Calibri" w:hAnsi="Calibri"/>
                <w:b w:val="false"/>
                <w:bCs w:val="false"/>
                <w:i w:val="false"/>
                <w:iCs w:val="false"/>
                <w:color w:val="263238"/>
                <w:sz w:val="22"/>
                <w:szCs w:val="22"/>
              </w:rPr>
              <w:t xml:space="preserve">Lo que marque la diferencia en la vida de tu hijo/a no será un diagnóstico temprano ni la terapia perfecta. Será </w:t>
            </w:r>
            <w:r>
              <w:rPr>
                <w:rFonts w:ascii="Calibri" w:cs="Calibri" w:eastAsia="Calibri" w:hAnsi="Calibri"/>
                <w:b/>
                <w:bCs/>
                <w:i w:val="false"/>
                <w:iCs w:val="false"/>
                <w:color w:val="00695C"/>
                <w:sz w:val="22"/>
                <w:szCs w:val="22"/>
              </w:rPr>
              <w:t xml:space="preserve">que tenga una familia que lo conoce, lo acepta y camina con él.</w:t>
            </w:r>
            <w:r>
              <w:rPr>
                <w:rFonts w:ascii="Calibri" w:cs="Calibri" w:eastAsia="Calibri" w:hAnsi="Calibri"/>
                <w:b w:val="false"/>
                <w:bCs w:val="false"/>
                <w:i w:val="false"/>
                <w:iCs w:val="false"/>
                <w:color w:val="263238"/>
                <w:sz w:val="22"/>
                <w:szCs w:val="22"/>
              </w:rPr>
              <w:t xml:space="preserve"> Ese eres tú. Y ya estás aquí.</w:t>
            </w:r>
          </w:p>
        </w:tc>
      </w:tr>
    </w:tbl>
    <w:p>
      <w:pPr>
        <w:spacing w:after="0" w:before="12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00695C" w:val="clear"/>
            <w:tcMar>
              <w:top w:type="dxa" w:w="40"/>
              <w:left w:type="dxa" w:w="200"/>
              <w:bottom w:type="dxa" w:w="40"/>
              <w:right w:type="dxa" w:w="200"/>
            </w:tcMar>
            <w:vAlign w:val="top"/>
          </w:tcPr>
          <w:p>
            <w:pPr>
              <w:spacing w:after="16" w:before="60"/>
              <w:jc w:val="left"/>
            </w:pPr>
            <w:r>
              <w:rPr>
                <w:rFonts w:ascii="Calibri" w:cs="Calibri" w:eastAsia="Calibri" w:hAnsi="Calibri"/>
                <w:b/>
                <w:bCs/>
                <w:i w:val="false"/>
                <w:iCs w:val="false"/>
                <w:color w:val="FFFFFF"/>
                <w:sz w:val="28"/>
                <w:szCs w:val="28"/>
              </w:rPr>
              <w:t xml:space="preserve">👣  LO QUE VIENE AHORA: TUS PRIMEROS PASOS</w:t>
            </w:r>
          </w:p>
          <w:p>
            <w:pPr>
              <w:spacing w:after="60" w:before="0"/>
              <w:jc w:val="left"/>
            </w:pPr>
            <w:r>
              <w:rPr>
                <w:rFonts w:ascii="Calibri" w:cs="Calibri" w:eastAsia="Calibri" w:hAnsi="Calibri"/>
                <w:b w:val="false"/>
                <w:bCs w:val="false"/>
                <w:i/>
                <w:iCs/>
                <w:color w:val="B2EBF2"/>
                <w:sz w:val="20"/>
                <w:szCs w:val="20"/>
              </w:rPr>
              <w:t xml:space="preserve">No tienes que hacer todo a la vez. Uno por uno.</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60"/>
        <w:gridCol w:w="8500"/>
      </w:tblGrid>
      <w:tr>
        <w:tc>
          <w:tcPr>
            <w:tcW w:type="dxa" w:w="860"/>
            <w:tcBorders>
              <w:top w:val="none" w:color="FFFFFF" w:sz="0"/>
              <w:left w:val="none" w:color="FFFFFF" w:sz="0"/>
              <w:bottom w:val="none" w:color="FFFFFF" w:sz="0"/>
              <w:right w:val="none" w:color="FFFFFF" w:sz="0"/>
            </w:tcBorders>
            <w:shd w:fill="F5A623" w:val="clear"/>
            <w:tcMar>
              <w:top w:type="dxa" w:w="60"/>
              <w:left w:type="dxa" w:w="40"/>
              <w:bottom w:type="dxa" w:w="60"/>
              <w:right w:type="dxa" w:w="40"/>
            </w:tcMar>
            <w:vAlign w:val="center"/>
          </w:tcPr>
          <w:p>
            <w:pPr>
              <w:spacing w:after="100" w:before="10"/>
              <w:jc w:val="center"/>
            </w:pPr>
            <w:r>
              <w:rPr>
                <w:rFonts w:ascii="Calibri" w:cs="Calibri" w:eastAsia="Calibri" w:hAnsi="Calibri"/>
                <w:b/>
                <w:bCs/>
                <w:i w:val="false"/>
                <w:iCs w:val="false"/>
                <w:color w:val="FFFFFF"/>
                <w:sz w:val="44"/>
                <w:szCs w:val="44"/>
              </w:rPr>
              <w:t xml:space="preserve">1</w:t>
            </w:r>
          </w:p>
          <w:p>
            <w:pPr>
              <w:spacing w:after="10" w:before="0"/>
              <w:jc w:val="center"/>
            </w:pPr>
            <w:r>
              <w:rPr>
                <w:rFonts w:ascii="Calibri" w:cs="Calibri" w:eastAsia="Calibri" w:hAnsi="Calibri"/>
                <w:b w:val="false"/>
                <w:bCs w:val="false"/>
                <w:i w:val="false"/>
                <w:iCs w:val="false"/>
                <w:color w:val="263238"/>
                <w:sz w:val="32"/>
                <w:szCs w:val="32"/>
              </w:rPr>
              <w:t xml:space="preserve">💛</w:t>
            </w:r>
          </w:p>
        </w:tc>
        <w:tc>
          <w:tcPr>
            <w:tcW w:type="dxa" w:w="8500"/>
            <w:tcBorders>
              <w:top w:val="single" w:color="F5A623" w:sz="4"/>
              <w:left w:val="single" w:color="F5A623" w:sz="4"/>
              <w:bottom w:val="single" w:color="F5A623" w:sz="4"/>
              <w:right w:val="single" w:color="F5A623" w:sz="4"/>
            </w:tcBorders>
            <w:shd w:fill="FFF8E1" w:val="clear"/>
            <w:tcMar>
              <w:top w:type="dxa" w:w="60"/>
              <w:left w:type="dxa" w:w="160"/>
              <w:bottom w:type="dxa" w:w="60"/>
              <w:right w:type="dxa" w:w="160"/>
            </w:tcMar>
            <w:vAlign w:val="top"/>
          </w:tcPr>
          <w:p>
            <w:pPr>
              <w:spacing w:after="20" w:before="20"/>
              <w:jc w:val="left"/>
            </w:pPr>
            <w:r>
              <w:rPr>
                <w:rFonts w:ascii="Calibri" w:cs="Calibri" w:eastAsia="Calibri" w:hAnsi="Calibri"/>
                <w:b/>
                <w:bCs/>
                <w:i w:val="false"/>
                <w:iCs w:val="false"/>
                <w:color w:val="F5A623"/>
                <w:sz w:val="24"/>
                <w:szCs w:val="24"/>
              </w:rPr>
              <w:t xml:space="preserve">Date permiso para procesar lo que sientes</w:t>
            </w:r>
          </w:p>
          <w:p>
            <w:pPr>
              <w:spacing w:after="120" w:before="0"/>
              <w:jc w:val="left"/>
            </w:pPr>
            <w:r>
              <w:rPr>
                <w:rFonts w:ascii="Calibri" w:cs="Calibri" w:eastAsia="Calibri" w:hAnsi="Calibri"/>
                <w:b w:val="false"/>
                <w:bCs w:val="false"/>
                <w:i w:val="false"/>
                <w:iCs w:val="false"/>
                <w:color w:val="263238"/>
                <w:sz w:val="21"/>
                <w:szCs w:val="21"/>
              </w:rPr>
              <w:t xml:space="preserve">No hay un tiempo correcto para aceptar un diagnóstico. Algunos padres sienten alivio, otros llanto, otros rabia. Permite que todas esas emociones existan sin juzgarte. No tienes que estar bien de inmediato para ser un buen padre o madre.</w:t>
            </w:r>
          </w:p>
          <w:p>
            <w:pPr>
              <w:spacing w:after="120" w:before="0"/>
              <w:jc w:val="left"/>
            </w:pPr>
            <w:r>
              <w:rPr>
                <w:rFonts w:ascii="Calibri" w:cs="Calibri" w:eastAsia="Calibri" w:hAnsi="Calibri"/>
                <w:b w:val="false"/>
                <w:bCs w:val="false"/>
                <w:i w:val="false"/>
                <w:iCs w:val="false"/>
                <w:color w:val="263238"/>
                <w:sz w:val="21"/>
                <w:szCs w:val="21"/>
              </w:rPr>
              <w:t xml:space="preserve">Si puedes, habla con alguien de confianza esta semana: tu pareja, una amiga, un familiar cercano. No cargues esto solo/a.</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60"/>
        <w:gridCol w:w="8500"/>
      </w:tblGrid>
      <w:tr>
        <w:tc>
          <w:tcPr>
            <w:tcW w:type="dxa" w:w="860"/>
            <w:tcBorders>
              <w:top w:val="none" w:color="FFFFFF" w:sz="0"/>
              <w:left w:val="none" w:color="FFFFFF" w:sz="0"/>
              <w:bottom w:val="none" w:color="FFFFFF" w:sz="0"/>
              <w:right w:val="none" w:color="FFFFFF" w:sz="0"/>
            </w:tcBorders>
            <w:shd w:fill="00897B" w:val="clear"/>
            <w:tcMar>
              <w:top w:type="dxa" w:w="60"/>
              <w:left w:type="dxa" w:w="40"/>
              <w:bottom w:type="dxa" w:w="60"/>
              <w:right w:type="dxa" w:w="40"/>
            </w:tcMar>
            <w:vAlign w:val="center"/>
          </w:tcPr>
          <w:p>
            <w:pPr>
              <w:spacing w:after="100" w:before="10"/>
              <w:jc w:val="center"/>
            </w:pPr>
            <w:r>
              <w:rPr>
                <w:rFonts w:ascii="Calibri" w:cs="Calibri" w:eastAsia="Calibri" w:hAnsi="Calibri"/>
                <w:b/>
                <w:bCs/>
                <w:i w:val="false"/>
                <w:iCs w:val="false"/>
                <w:color w:val="FFFFFF"/>
                <w:sz w:val="44"/>
                <w:szCs w:val="44"/>
              </w:rPr>
              <w:t xml:space="preserve">2</w:t>
            </w:r>
          </w:p>
          <w:p>
            <w:pPr>
              <w:spacing w:after="10" w:before="0"/>
              <w:jc w:val="center"/>
            </w:pPr>
            <w:r>
              <w:rPr>
                <w:rFonts w:ascii="Calibri" w:cs="Calibri" w:eastAsia="Calibri" w:hAnsi="Calibri"/>
                <w:b w:val="false"/>
                <w:bCs w:val="false"/>
                <w:i w:val="false"/>
                <w:iCs w:val="false"/>
                <w:color w:val="263238"/>
                <w:sz w:val="32"/>
                <w:szCs w:val="32"/>
              </w:rPr>
              <w:t xml:space="preserve">📋</w:t>
            </w:r>
          </w:p>
        </w:tc>
        <w:tc>
          <w:tcPr>
            <w:tcW w:type="dxa" w:w="8500"/>
            <w:tcBorders>
              <w:top w:val="single" w:color="00897B" w:sz="4"/>
              <w:left w:val="single" w:color="00897B" w:sz="4"/>
              <w:bottom w:val="single" w:color="00897B" w:sz="4"/>
              <w:right w:val="single" w:color="00897B" w:sz="4"/>
            </w:tcBorders>
            <w:shd w:fill="E0F2F1" w:val="clear"/>
            <w:tcMar>
              <w:top w:type="dxa" w:w="60"/>
              <w:left w:type="dxa" w:w="160"/>
              <w:bottom w:type="dxa" w:w="60"/>
              <w:right w:type="dxa" w:w="160"/>
            </w:tcMar>
            <w:vAlign w:val="top"/>
          </w:tcPr>
          <w:p>
            <w:pPr>
              <w:spacing w:after="20" w:before="20"/>
              <w:jc w:val="left"/>
            </w:pPr>
            <w:r>
              <w:rPr>
                <w:rFonts w:ascii="Calibri" w:cs="Calibri" w:eastAsia="Calibri" w:hAnsi="Calibri"/>
                <w:b/>
                <w:bCs/>
                <w:i w:val="false"/>
                <w:iCs w:val="false"/>
                <w:color w:val="00897B"/>
                <w:sz w:val="24"/>
                <w:szCs w:val="24"/>
              </w:rPr>
              <w:t xml:space="preserve">Consigue el informe diagnóstico completo por escrito</w:t>
            </w:r>
          </w:p>
          <w:p>
            <w:pPr>
              <w:spacing w:after="120" w:before="0"/>
              <w:jc w:val="left"/>
            </w:pPr>
            <w:r>
              <w:rPr>
                <w:rFonts w:ascii="Calibri" w:cs="Calibri" w:eastAsia="Calibri" w:hAnsi="Calibri"/>
                <w:b w:val="false"/>
                <w:bCs w:val="false"/>
                <w:i w:val="false"/>
                <w:iCs w:val="false"/>
                <w:color w:val="263238"/>
                <w:sz w:val="21"/>
                <w:szCs w:val="21"/>
              </w:rPr>
              <w:t xml:space="preserve">Solicita al profesional que realizó el diagnóstico un informe escrito detallado. Este documento es fundamental: lo necesitarás para acceder a servicios del Estado, para el colegio, y para que cualquier especialista que trabaje con tu hijo/a entienda su perfil desde el inicio.</w:t>
            </w:r>
          </w:p>
          <w:p>
            <w:pPr>
              <w:spacing w:after="120" w:before="0"/>
              <w:jc w:val="left"/>
            </w:pPr>
            <w:r>
              <w:rPr>
                <w:rFonts w:ascii="Calibri" w:cs="Calibri" w:eastAsia="Calibri" w:hAnsi="Calibri"/>
                <w:b/>
                <w:bCs/>
                <w:i w:val="false"/>
                <w:iCs w:val="false"/>
                <w:color w:val="263238"/>
                <w:sz w:val="21"/>
                <w:szCs w:val="21"/>
              </w:rPr>
              <w:t xml:space="preserve">Pregunta explícitamente: </w:t>
            </w:r>
            <w:r>
              <w:rPr>
                <w:rFonts w:ascii="Calibri" w:cs="Calibri" w:eastAsia="Calibri" w:hAnsi="Calibri"/>
                <w:b w:val="false"/>
                <w:bCs w:val="false"/>
                <w:i w:val="false"/>
                <w:iCs w:val="false"/>
                <w:color w:val="263238"/>
                <w:sz w:val="21"/>
                <w:szCs w:val="21"/>
              </w:rPr>
              <w:t xml:space="preserve">nivel de apoyo según DSM-5 (Nivel 1, 2 o 3), áreas de fortaleza, áreas de dificultad y recomendaciones de intervención.</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60"/>
        <w:gridCol w:w="8500"/>
      </w:tblGrid>
      <w:tr>
        <w:tc>
          <w:tcPr>
            <w:tcW w:type="dxa" w:w="860"/>
            <w:tcBorders>
              <w:top w:val="none" w:color="FFFFFF" w:sz="0"/>
              <w:left w:val="none" w:color="FFFFFF" w:sz="0"/>
              <w:bottom w:val="none" w:color="FFFFFF" w:sz="0"/>
              <w:right w:val="none" w:color="FFFFFF" w:sz="0"/>
            </w:tcBorders>
            <w:shd w:fill="2E7D32" w:val="clear"/>
            <w:tcMar>
              <w:top w:type="dxa" w:w="60"/>
              <w:left w:type="dxa" w:w="40"/>
              <w:bottom w:type="dxa" w:w="60"/>
              <w:right w:type="dxa" w:w="40"/>
            </w:tcMar>
            <w:vAlign w:val="center"/>
          </w:tcPr>
          <w:p>
            <w:pPr>
              <w:spacing w:after="100" w:before="10"/>
              <w:jc w:val="center"/>
            </w:pPr>
            <w:r>
              <w:rPr>
                <w:rFonts w:ascii="Calibri" w:cs="Calibri" w:eastAsia="Calibri" w:hAnsi="Calibri"/>
                <w:b/>
                <w:bCs/>
                <w:i w:val="false"/>
                <w:iCs w:val="false"/>
                <w:color w:val="FFFFFF"/>
                <w:sz w:val="44"/>
                <w:szCs w:val="44"/>
              </w:rPr>
              <w:t xml:space="preserve">3</w:t>
            </w:r>
          </w:p>
          <w:p>
            <w:pPr>
              <w:spacing w:after="10" w:before="0"/>
              <w:jc w:val="center"/>
            </w:pPr>
            <w:r>
              <w:rPr>
                <w:rFonts w:ascii="Calibri" w:cs="Calibri" w:eastAsia="Calibri" w:hAnsi="Calibri"/>
                <w:b w:val="false"/>
                <w:bCs w:val="false"/>
                <w:i w:val="false"/>
                <w:iCs w:val="false"/>
                <w:color w:val="263238"/>
                <w:sz w:val="32"/>
                <w:szCs w:val="32"/>
              </w:rPr>
              <w:t xml:space="preserve">🏥</w:t>
            </w:r>
          </w:p>
        </w:tc>
        <w:tc>
          <w:tcPr>
            <w:tcW w:type="dxa" w:w="8500"/>
            <w:tcBorders>
              <w:top w:val="single" w:color="2E7D32" w:sz="4"/>
              <w:left w:val="single" w:color="2E7D32" w:sz="4"/>
              <w:bottom w:val="single" w:color="2E7D32" w:sz="4"/>
              <w:right w:val="single" w:color="2E7D32" w:sz="4"/>
            </w:tcBorders>
            <w:shd w:fill="E8F5E9" w:val="clear"/>
            <w:tcMar>
              <w:top w:type="dxa" w:w="60"/>
              <w:left w:type="dxa" w:w="160"/>
              <w:bottom w:type="dxa" w:w="60"/>
              <w:right w:type="dxa" w:w="160"/>
            </w:tcMar>
            <w:vAlign w:val="top"/>
          </w:tcPr>
          <w:p>
            <w:pPr>
              <w:spacing w:after="20" w:before="20"/>
              <w:jc w:val="left"/>
            </w:pPr>
            <w:r>
              <w:rPr>
                <w:rFonts w:ascii="Calibri" w:cs="Calibri" w:eastAsia="Calibri" w:hAnsi="Calibri"/>
                <w:b/>
                <w:bCs/>
                <w:i w:val="false"/>
                <w:iCs w:val="false"/>
                <w:color w:val="2E7D32"/>
                <w:sz w:val="24"/>
                <w:szCs w:val="24"/>
              </w:rPr>
              <w:t xml:space="preserve">Inscríbete en el CEBE o PRITE más cercano</w:t>
            </w:r>
          </w:p>
          <w:p>
            <w:pPr>
              <w:spacing w:after="120" w:before="0"/>
              <w:jc w:val="left"/>
            </w:pPr>
            <w:r>
              <w:rPr>
                <w:rFonts w:ascii="Calibri" w:cs="Calibri" w:eastAsia="Calibri" w:hAnsi="Calibri"/>
                <w:b w:val="false"/>
                <w:bCs w:val="false"/>
                <w:i w:val="false"/>
                <w:iCs w:val="false"/>
                <w:color w:val="263238"/>
                <w:sz w:val="21"/>
                <w:szCs w:val="21"/>
              </w:rPr>
              <w:t xml:space="preserve">El CEBE (Centro de Educación Básica Especial) y el PRITE (Programa de Intervención Temprana) son servicios gratuitos del Estado peruano. No son centros donde tu hijo irá a estudiar: son los que coordinarán el apoyo especializado a través del SAANEE.</w:t>
            </w:r>
          </w:p>
          <w:p>
            <w:pPr>
              <w:spacing w:after="120" w:before="0"/>
              <w:jc w:val="left"/>
            </w:pPr>
            <w:r>
              <w:rPr>
                <w:rFonts w:ascii="Calibri" w:cs="Calibri" w:eastAsia="Calibri" w:hAnsi="Calibri"/>
                <w:b/>
                <w:bCs/>
                <w:i w:val="false"/>
                <w:iCs w:val="false"/>
                <w:color w:val="00695C"/>
                <w:sz w:val="21"/>
                <w:szCs w:val="21"/>
              </w:rPr>
              <w:t xml:space="preserve">PRITE: </w:t>
            </w:r>
            <w:r>
              <w:rPr>
                <w:rFonts w:ascii="Calibri" w:cs="Calibri" w:eastAsia="Calibri" w:hAnsi="Calibri"/>
                <w:b w:val="false"/>
                <w:bCs w:val="false"/>
                <w:i w:val="false"/>
                <w:iCs w:val="false"/>
                <w:color w:val="263238"/>
                <w:sz w:val="21"/>
                <w:szCs w:val="21"/>
              </w:rPr>
              <w:t xml:space="preserve">para niños de 0 a 3 años. Se enfoca en estimulación temprana.</w:t>
            </w:r>
          </w:p>
          <w:p>
            <w:pPr>
              <w:spacing w:after="120" w:before="0"/>
              <w:jc w:val="left"/>
            </w:pPr>
            <w:r>
              <w:rPr>
                <w:rFonts w:ascii="Calibri" w:cs="Calibri" w:eastAsia="Calibri" w:hAnsi="Calibri"/>
                <w:b/>
                <w:bCs/>
                <w:i w:val="false"/>
                <w:iCs w:val="false"/>
                <w:color w:val="00695C"/>
                <w:sz w:val="21"/>
                <w:szCs w:val="21"/>
              </w:rPr>
              <w:t xml:space="preserve">CEBE / SAANEE: </w:t>
            </w:r>
            <w:r>
              <w:rPr>
                <w:rFonts w:ascii="Calibri" w:cs="Calibri" w:eastAsia="Calibri" w:hAnsi="Calibri"/>
                <w:b w:val="false"/>
                <w:bCs w:val="false"/>
                <w:i w:val="false"/>
                <w:iCs w:val="false"/>
                <w:color w:val="263238"/>
                <w:sz w:val="21"/>
                <w:szCs w:val="21"/>
              </w:rPr>
              <w:t xml:space="preserve">para niños de 3 años en adelante. Coordina el apoyo en el colegio regular.</w:t>
            </w:r>
          </w:p>
          <w:p>
            <w:pPr>
              <w:spacing w:after="120" w:before="0"/>
              <w:jc w:val="left"/>
            </w:pPr>
            <w:r>
              <w:rPr>
                <w:rFonts w:ascii="Calibri" w:cs="Calibri" w:eastAsia="Calibri" w:hAnsi="Calibri"/>
                <w:b w:val="false"/>
                <w:bCs w:val="false"/>
                <w:i w:val="false"/>
                <w:iCs w:val="false"/>
                <w:color w:val="263238"/>
                <w:sz w:val="21"/>
                <w:szCs w:val="21"/>
              </w:rPr>
              <w:t xml:space="preserve">Puedes ubicar el CEBE más cercano llamando a la UGEL (Unidad de Gestión Educativa Local) de tu distrito.</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60"/>
        <w:gridCol w:w="8500"/>
      </w:tblGrid>
      <w:tr>
        <w:tc>
          <w:tcPr>
            <w:tcW w:type="dxa" w:w="860"/>
            <w:tcBorders>
              <w:top w:val="none" w:color="FFFFFF" w:sz="0"/>
              <w:left w:val="none" w:color="FFFFFF" w:sz="0"/>
              <w:bottom w:val="none" w:color="FFFFFF" w:sz="0"/>
              <w:right w:val="none" w:color="FFFFFF" w:sz="0"/>
            </w:tcBorders>
            <w:shd w:fill="1565C0" w:val="clear"/>
            <w:tcMar>
              <w:top w:type="dxa" w:w="60"/>
              <w:left w:type="dxa" w:w="40"/>
              <w:bottom w:type="dxa" w:w="60"/>
              <w:right w:type="dxa" w:w="40"/>
            </w:tcMar>
            <w:vAlign w:val="center"/>
          </w:tcPr>
          <w:p>
            <w:pPr>
              <w:spacing w:after="100" w:before="10"/>
              <w:jc w:val="center"/>
            </w:pPr>
            <w:r>
              <w:rPr>
                <w:rFonts w:ascii="Calibri" w:cs="Calibri" w:eastAsia="Calibri" w:hAnsi="Calibri"/>
                <w:b/>
                <w:bCs/>
                <w:i w:val="false"/>
                <w:iCs w:val="false"/>
                <w:color w:val="FFFFFF"/>
                <w:sz w:val="44"/>
                <w:szCs w:val="44"/>
              </w:rPr>
              <w:t xml:space="preserve">4</w:t>
            </w:r>
          </w:p>
          <w:p>
            <w:pPr>
              <w:spacing w:after="10" w:before="0"/>
              <w:jc w:val="center"/>
            </w:pPr>
            <w:r>
              <w:rPr>
                <w:rFonts w:ascii="Calibri" w:cs="Calibri" w:eastAsia="Calibri" w:hAnsi="Calibri"/>
                <w:b w:val="false"/>
                <w:bCs w:val="false"/>
                <w:i w:val="false"/>
                <w:iCs w:val="false"/>
                <w:color w:val="263238"/>
                <w:sz w:val="32"/>
                <w:szCs w:val="32"/>
              </w:rPr>
              <w:t xml:space="preserve">🎓</w:t>
            </w:r>
          </w:p>
        </w:tc>
        <w:tc>
          <w:tcPr>
            <w:tcW w:type="dxa" w:w="8500"/>
            <w:tcBorders>
              <w:top w:val="single" w:color="1565C0" w:sz="4"/>
              <w:left w:val="single" w:color="1565C0" w:sz="4"/>
              <w:bottom w:val="single" w:color="1565C0" w:sz="4"/>
              <w:right w:val="single" w:color="1565C0" w:sz="4"/>
            </w:tcBorders>
            <w:shd w:fill="E3F2FD" w:val="clear"/>
            <w:tcMar>
              <w:top w:type="dxa" w:w="60"/>
              <w:left w:type="dxa" w:w="160"/>
              <w:bottom w:type="dxa" w:w="60"/>
              <w:right w:type="dxa" w:w="160"/>
            </w:tcMar>
            <w:vAlign w:val="top"/>
          </w:tcPr>
          <w:p>
            <w:pPr>
              <w:spacing w:after="20" w:before="20"/>
              <w:jc w:val="left"/>
            </w:pPr>
            <w:r>
              <w:rPr>
                <w:rFonts w:ascii="Calibri" w:cs="Calibri" w:eastAsia="Calibri" w:hAnsi="Calibri"/>
                <w:b/>
                <w:bCs/>
                <w:i w:val="false"/>
                <w:iCs w:val="false"/>
                <w:color w:val="1565C0"/>
                <w:sz w:val="24"/>
                <w:szCs w:val="24"/>
              </w:rPr>
              <w:t xml:space="preserve">Gestiona la matrícula en una IE inclusiva con apoyo SAANEE</w:t>
            </w:r>
          </w:p>
          <w:p>
            <w:pPr>
              <w:spacing w:after="120" w:before="0"/>
              <w:jc w:val="left"/>
            </w:pPr>
            <w:r>
              <w:rPr>
                <w:rFonts w:ascii="Calibri" w:cs="Calibri" w:eastAsia="Calibri" w:hAnsi="Calibri"/>
                <w:b w:val="false"/>
                <w:bCs w:val="false"/>
                <w:i w:val="false"/>
                <w:iCs w:val="false"/>
                <w:color w:val="263238"/>
                <w:sz w:val="21"/>
                <w:szCs w:val="21"/>
              </w:rPr>
              <w:t xml:space="preserve">Tu hijo/a tiene derecho a estudiar en una escuela regular. La Ley N.° 29973 garantiza este derecho y prohíbe que cualquier colegio niegue la matrícula por razones de discapacidad.</w:t>
            </w:r>
          </w:p>
          <w:p>
            <w:pPr>
              <w:spacing w:after="120" w:before="0"/>
              <w:jc w:val="left"/>
            </w:pPr>
            <w:r>
              <w:rPr>
                <w:rFonts w:ascii="Calibri" w:cs="Calibri" w:eastAsia="Calibri" w:hAnsi="Calibri"/>
                <w:b/>
                <w:bCs/>
                <w:i w:val="false"/>
                <w:iCs w:val="false"/>
                <w:color w:val="263238"/>
                <w:sz w:val="21"/>
                <w:szCs w:val="21"/>
              </w:rPr>
              <w:t xml:space="preserve">¿Qué hacer? </w:t>
            </w:r>
            <w:r>
              <w:rPr>
                <w:rFonts w:ascii="Calibri" w:cs="Calibri" w:eastAsia="Calibri" w:hAnsi="Calibri"/>
                <w:b w:val="false"/>
                <w:bCs w:val="false"/>
                <w:i w:val="false"/>
                <w:iCs w:val="false"/>
                <w:color w:val="263238"/>
                <w:sz w:val="21"/>
                <w:szCs w:val="21"/>
              </w:rPr>
              <w:t xml:space="preserve">Acércate a la UGEL de tu distrito con el informe diagnóstico y solicita que te orienten hacia una Institución Educativa inclusiva con apoyo SAANEE activo. Pide que el SAANEE asigne un especialista para tu hijo/a.</w:t>
            </w:r>
          </w:p>
          <w:p>
            <w:pPr>
              <w:spacing w:after="120" w:before="0"/>
              <w:jc w:val="left"/>
            </w:pPr>
            <w:r>
              <w:rPr>
                <w:rFonts w:ascii="Calibri" w:cs="Calibri" w:eastAsia="Calibri" w:hAnsi="Calibri"/>
                <w:b/>
                <w:bCs/>
                <w:i w:val="false"/>
                <w:iCs w:val="false"/>
                <w:color w:val="E8352A"/>
                <w:sz w:val="21"/>
                <w:szCs w:val="21"/>
              </w:rPr>
              <w:t xml:space="preserve">Recuerda: </w:t>
            </w:r>
            <w:r>
              <w:rPr>
                <w:rFonts w:ascii="Calibri" w:cs="Calibri" w:eastAsia="Calibri" w:hAnsi="Calibri"/>
                <w:b w:val="false"/>
                <w:bCs w:val="false"/>
                <w:i w:val="false"/>
                <w:iCs w:val="false"/>
                <w:color w:val="E8352A"/>
                <w:sz w:val="21"/>
                <w:szCs w:val="21"/>
              </w:rPr>
              <w:t xml:space="preserve">ningún director puede exigirte el diagnóstico como condición de matrícula. Si eso ocurre, tienes derecho a presentar una queja ante la UGEL.</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60"/>
        <w:gridCol w:w="8500"/>
      </w:tblGrid>
      <w:tr>
        <w:tc>
          <w:tcPr>
            <w:tcW w:type="dxa" w:w="860"/>
            <w:tcBorders>
              <w:top w:val="none" w:color="FFFFFF" w:sz="0"/>
              <w:left w:val="none" w:color="FFFFFF" w:sz="0"/>
              <w:bottom w:val="none" w:color="FFFFFF" w:sz="0"/>
              <w:right w:val="none" w:color="FFFFFF" w:sz="0"/>
            </w:tcBorders>
            <w:shd w:fill="F5A623" w:val="clear"/>
            <w:tcMar>
              <w:top w:type="dxa" w:w="60"/>
              <w:left w:type="dxa" w:w="40"/>
              <w:bottom w:type="dxa" w:w="60"/>
              <w:right w:type="dxa" w:w="40"/>
            </w:tcMar>
            <w:vAlign w:val="center"/>
          </w:tcPr>
          <w:p>
            <w:pPr>
              <w:spacing w:after="100" w:before="10"/>
              <w:jc w:val="center"/>
            </w:pPr>
            <w:r>
              <w:rPr>
                <w:rFonts w:ascii="Calibri" w:cs="Calibri" w:eastAsia="Calibri" w:hAnsi="Calibri"/>
                <w:b/>
                <w:bCs/>
                <w:i w:val="false"/>
                <w:iCs w:val="false"/>
                <w:color w:val="FFFFFF"/>
                <w:sz w:val="44"/>
                <w:szCs w:val="44"/>
              </w:rPr>
              <w:t xml:space="preserve">5</w:t>
            </w:r>
          </w:p>
          <w:p>
            <w:pPr>
              <w:spacing w:after="10" w:before="0"/>
              <w:jc w:val="center"/>
            </w:pPr>
            <w:r>
              <w:rPr>
                <w:rFonts w:ascii="Calibri" w:cs="Calibri" w:eastAsia="Calibri" w:hAnsi="Calibri"/>
                <w:b w:val="false"/>
                <w:bCs w:val="false"/>
                <w:i w:val="false"/>
                <w:iCs w:val="false"/>
                <w:color w:val="263238"/>
                <w:sz w:val="32"/>
                <w:szCs w:val="32"/>
              </w:rPr>
              <w:t xml:space="preserve">💬</w:t>
            </w:r>
          </w:p>
        </w:tc>
        <w:tc>
          <w:tcPr>
            <w:tcW w:type="dxa" w:w="8500"/>
            <w:tcBorders>
              <w:top w:val="single" w:color="F5A623" w:sz="4"/>
              <w:left w:val="single" w:color="F5A623" w:sz="4"/>
              <w:bottom w:val="single" w:color="F5A623" w:sz="4"/>
              <w:right w:val="single" w:color="F5A623" w:sz="4"/>
            </w:tcBorders>
            <w:shd w:fill="FFF8E1" w:val="clear"/>
            <w:tcMar>
              <w:top w:type="dxa" w:w="60"/>
              <w:left w:type="dxa" w:w="160"/>
              <w:bottom w:type="dxa" w:w="60"/>
              <w:right w:type="dxa" w:w="160"/>
            </w:tcMar>
            <w:vAlign w:val="top"/>
          </w:tcPr>
          <w:p>
            <w:pPr>
              <w:spacing w:after="20" w:before="20"/>
              <w:jc w:val="left"/>
            </w:pPr>
            <w:r>
              <w:rPr>
                <w:rFonts w:ascii="Calibri" w:cs="Calibri" w:eastAsia="Calibri" w:hAnsi="Calibri"/>
                <w:b/>
                <w:bCs/>
                <w:i w:val="false"/>
                <w:iCs w:val="false"/>
                <w:color w:val="F5A623"/>
                <w:sz w:val="24"/>
                <w:szCs w:val="24"/>
              </w:rPr>
              <w:t xml:space="preserve">Busca terapias de apoyo según las necesidades de tu hijo/a</w:t>
            </w:r>
          </w:p>
          <w:p>
            <w:pPr>
              <w:spacing w:after="120" w:before="0"/>
              <w:jc w:val="left"/>
            </w:pPr>
            <w:r>
              <w:rPr>
                <w:rFonts w:ascii="Calibri" w:cs="Calibri" w:eastAsia="Calibri" w:hAnsi="Calibri"/>
                <w:b w:val="false"/>
                <w:bCs w:val="false"/>
                <w:i w:val="false"/>
                <w:iCs w:val="false"/>
                <w:color w:val="263238"/>
                <w:sz w:val="21"/>
                <w:szCs w:val="21"/>
              </w:rPr>
              <w:t xml:space="preserve">Dependiendo del perfil de tu hijo/a, los especialistas pueden recomendarte una o más de las siguientes terapias. No necesitas empezar todas a la vez: prioriza con ayuda del profesional que lo evaluó.</w:t>
            </w:r>
          </w:p>
          <w:tbl>
            <w:tblPr>
              <w:tblW w:type="dxa" w:w="8200"/>
              <w:tblBorders>
                <w:top w:val="single" w:color="auto" w:sz="4"/>
                <w:left w:val="single" w:color="auto" w:sz="4"/>
                <w:bottom w:val="single" w:color="auto" w:sz="4"/>
                <w:right w:val="single" w:color="auto" w:sz="4"/>
                <w:insideH w:val="single" w:color="auto" w:sz="4"/>
                <w:insideV w:val="single" w:color="auto" w:sz="4"/>
              </w:tblBorders>
            </w:tblPr>
            <w:tblGrid>
              <w:gridCol w:w="2800"/>
              <w:gridCol w:w="5400"/>
            </w:tblGrid>
            <w:tr>
              <w:tc>
                <w:tcPr>
                  <w:tcW w:type="dxa" w:w="2800"/>
                  <w:tcBorders>
                    <w:top w:val="single" w:color="00897B" w:sz="3"/>
                    <w:left w:val="single" w:color="00897B" w:sz="3"/>
                    <w:bottom w:val="single" w:color="00897B" w:sz="3"/>
                    <w:right w:val="single" w:color="00897B" w:sz="3"/>
                  </w:tcBorders>
                  <w:shd w:fill="E0F2F1" w:val="clear"/>
                  <w:tcMar>
                    <w:top w:type="dxa" w:w="60"/>
                    <w:left w:type="dxa" w:w="120"/>
                    <w:bottom w:type="dxa" w:w="60"/>
                    <w:right w:type="dxa" w:w="160"/>
                  </w:tcMar>
                  <w:vAlign w:val="top"/>
                </w:tcPr>
                <w:p>
                  <w:pPr>
                    <w:spacing w:after="20" w:before="20"/>
                    <w:jc w:val="left"/>
                  </w:pPr>
                  <w:r>
                    <w:rPr>
                      <w:rFonts w:ascii="Calibri" w:cs="Calibri" w:eastAsia="Calibri" w:hAnsi="Calibri"/>
                      <w:b/>
                      <w:bCs/>
                      <w:i w:val="false"/>
                      <w:iCs w:val="false"/>
                      <w:color w:val="00695C"/>
                      <w:sz w:val="20"/>
                      <w:szCs w:val="20"/>
                    </w:rPr>
                    <w:t xml:space="preserve">Terapia de Lenguaje</w:t>
                  </w:r>
                </w:p>
              </w:tc>
              <w:tc>
                <w:tcPr>
                  <w:tcW w:type="dxa" w:w="5400"/>
                  <w:tcBorders>
                    <w:top w:val="single" w:color="E0E0E0" w:sz="3"/>
                    <w:left w:val="single" w:color="E0E0E0" w:sz="3"/>
                    <w:bottom w:val="single" w:color="E0E0E0" w:sz="3"/>
                    <w:right w:val="single" w:color="E0E0E0" w:sz="3"/>
                  </w:tcBorders>
                  <w:shd w:fill="FFFFFF" w:val="clear"/>
                  <w:tcMar>
                    <w:top w:type="dxa" w:w="60"/>
                    <w:left w:type="dxa" w:w="120"/>
                    <w:bottom w:type="dxa" w:w="60"/>
                    <w:right w:type="dxa" w:w="160"/>
                  </w:tcMar>
                  <w:vAlign w:val="top"/>
                </w:tcPr>
                <w:p>
                  <w:pPr>
                    <w:spacing w:after="20" w:before="20"/>
                    <w:jc w:val="left"/>
                  </w:pPr>
                  <w:r>
                    <w:rPr>
                      <w:rFonts w:ascii="Calibri" w:cs="Calibri" w:eastAsia="Calibri" w:hAnsi="Calibri"/>
                      <w:b w:val="false"/>
                      <w:bCs w:val="false"/>
                      <w:i w:val="false"/>
                      <w:iCs w:val="false"/>
                      <w:color w:val="263238"/>
                      <w:sz w:val="20"/>
                      <w:szCs w:val="20"/>
                    </w:rPr>
                    <w:t xml:space="preserve">Trabaja la comunicación verbal y no verbal. Fundamental si tu hijo/a tiene dificultades para expresarse.</w:t>
                  </w:r>
                </w:p>
              </w:tc>
            </w:tr>
            <w:tr>
              <w:tc>
                <w:tcPr>
                  <w:tcW w:type="dxa" w:w="2800"/>
                  <w:tcBorders>
                    <w:top w:val="single" w:color="5E35B1" w:sz="3"/>
                    <w:left w:val="single" w:color="5E35B1" w:sz="3"/>
                    <w:bottom w:val="single" w:color="5E35B1" w:sz="3"/>
                    <w:right w:val="single" w:color="5E35B1" w:sz="3"/>
                  </w:tcBorders>
                  <w:shd w:fill="EDE7F6" w:val="clear"/>
                  <w:tcMar>
                    <w:top w:type="dxa" w:w="60"/>
                    <w:left w:type="dxa" w:w="120"/>
                    <w:bottom w:type="dxa" w:w="60"/>
                    <w:right w:type="dxa" w:w="160"/>
                  </w:tcMar>
                  <w:vAlign w:val="top"/>
                </w:tcPr>
                <w:p>
                  <w:pPr>
                    <w:spacing w:after="20" w:before="20"/>
                    <w:jc w:val="left"/>
                  </w:pPr>
                  <w:r>
                    <w:rPr>
                      <w:rFonts w:ascii="Calibri" w:cs="Calibri" w:eastAsia="Calibri" w:hAnsi="Calibri"/>
                      <w:b/>
                      <w:bCs/>
                      <w:i w:val="false"/>
                      <w:iCs w:val="false"/>
                      <w:color w:val="5E35B1"/>
                      <w:sz w:val="20"/>
                      <w:szCs w:val="20"/>
                    </w:rPr>
                    <w:t xml:space="preserve">Terapia Ocupacional</w:t>
                  </w:r>
                </w:p>
              </w:tc>
              <w:tc>
                <w:tcPr>
                  <w:tcW w:type="dxa" w:w="5400"/>
                  <w:tcBorders>
                    <w:top w:val="single" w:color="E0E0E0" w:sz="3"/>
                    <w:left w:val="single" w:color="E0E0E0" w:sz="3"/>
                    <w:bottom w:val="single" w:color="E0E0E0" w:sz="3"/>
                    <w:right w:val="single" w:color="E0E0E0" w:sz="3"/>
                  </w:tcBorders>
                  <w:shd w:fill="FFFFFF" w:val="clear"/>
                  <w:tcMar>
                    <w:top w:type="dxa" w:w="60"/>
                    <w:left w:type="dxa" w:w="120"/>
                    <w:bottom w:type="dxa" w:w="60"/>
                    <w:right w:type="dxa" w:w="160"/>
                  </w:tcMar>
                  <w:vAlign w:val="top"/>
                </w:tcPr>
                <w:p>
                  <w:pPr>
                    <w:spacing w:after="20" w:before="20"/>
                    <w:jc w:val="left"/>
                  </w:pPr>
                  <w:r>
                    <w:rPr>
                      <w:rFonts w:ascii="Calibri" w:cs="Calibri" w:eastAsia="Calibri" w:hAnsi="Calibri"/>
                      <w:b w:val="false"/>
                      <w:bCs w:val="false"/>
                      <w:i w:val="false"/>
                      <w:iCs w:val="false"/>
                      <w:color w:val="263238"/>
                      <w:sz w:val="20"/>
                      <w:szCs w:val="20"/>
                    </w:rPr>
                    <w:t xml:space="preserve">Ayuda con la regulación sensorial, las habilidades motoras y la autonomía del día a día.</w:t>
                  </w:r>
                </w:p>
              </w:tc>
            </w:tr>
            <w:tr>
              <w:tc>
                <w:tcPr>
                  <w:tcW w:type="dxa" w:w="2800"/>
                  <w:tcBorders>
                    <w:top w:val="single" w:color="E8352A" w:sz="3"/>
                    <w:left w:val="single" w:color="E8352A" w:sz="3"/>
                    <w:bottom w:val="single" w:color="E8352A" w:sz="3"/>
                    <w:right w:val="single" w:color="E8352A" w:sz="3"/>
                  </w:tcBorders>
                  <w:shd w:fill="FEECEB" w:val="clear"/>
                  <w:tcMar>
                    <w:top w:type="dxa" w:w="60"/>
                    <w:left w:type="dxa" w:w="120"/>
                    <w:bottom w:type="dxa" w:w="60"/>
                    <w:right w:type="dxa" w:w="160"/>
                  </w:tcMar>
                  <w:vAlign w:val="top"/>
                </w:tcPr>
                <w:p>
                  <w:pPr>
                    <w:spacing w:after="20" w:before="20"/>
                    <w:jc w:val="left"/>
                  </w:pPr>
                  <w:r>
                    <w:rPr>
                      <w:rFonts w:ascii="Calibri" w:cs="Calibri" w:eastAsia="Calibri" w:hAnsi="Calibri"/>
                      <w:b/>
                      <w:bCs/>
                      <w:i w:val="false"/>
                      <w:iCs w:val="false"/>
                      <w:color w:val="E8352A"/>
                      <w:sz w:val="20"/>
                      <w:szCs w:val="20"/>
                    </w:rPr>
                    <w:t xml:space="preserve">ABA / Apoyo conductual</w:t>
                  </w:r>
                </w:p>
              </w:tc>
              <w:tc>
                <w:tcPr>
                  <w:tcW w:type="dxa" w:w="5400"/>
                  <w:tcBorders>
                    <w:top w:val="single" w:color="E0E0E0" w:sz="3"/>
                    <w:left w:val="single" w:color="E0E0E0" w:sz="3"/>
                    <w:bottom w:val="single" w:color="E0E0E0" w:sz="3"/>
                    <w:right w:val="single" w:color="E0E0E0" w:sz="3"/>
                  </w:tcBorders>
                  <w:shd w:fill="FFFFFF" w:val="clear"/>
                  <w:tcMar>
                    <w:top w:type="dxa" w:w="60"/>
                    <w:left w:type="dxa" w:w="120"/>
                    <w:bottom w:type="dxa" w:w="60"/>
                    <w:right w:type="dxa" w:w="160"/>
                  </w:tcMar>
                  <w:vAlign w:val="top"/>
                </w:tcPr>
                <w:p>
                  <w:pPr>
                    <w:spacing w:after="20" w:before="20"/>
                    <w:jc w:val="left"/>
                  </w:pPr>
                  <w:r>
                    <w:rPr>
                      <w:rFonts w:ascii="Calibri" w:cs="Calibri" w:eastAsia="Calibri" w:hAnsi="Calibri"/>
                      <w:b w:val="false"/>
                      <w:bCs w:val="false"/>
                      <w:i w:val="false"/>
                      <w:iCs w:val="false"/>
                      <w:color w:val="263238"/>
                      <w:sz w:val="20"/>
                      <w:szCs w:val="20"/>
                    </w:rPr>
                    <w:t xml:space="preserve">Enseña habilidades nuevas y reduce conductas que generan dificultades, usando refuerzo positivo.</w:t>
                  </w:r>
                </w:p>
              </w:tc>
            </w:tr>
            <w:tr>
              <w:tc>
                <w:tcPr>
                  <w:tcW w:type="dxa" w:w="2800"/>
                  <w:tcBorders>
                    <w:top w:val="single" w:color="1565C0" w:sz="3"/>
                    <w:left w:val="single" w:color="1565C0" w:sz="3"/>
                    <w:bottom w:val="single" w:color="1565C0" w:sz="3"/>
                    <w:right w:val="single" w:color="1565C0" w:sz="3"/>
                  </w:tcBorders>
                  <w:shd w:fill="E3F2FD" w:val="clear"/>
                  <w:tcMar>
                    <w:top w:type="dxa" w:w="60"/>
                    <w:left w:type="dxa" w:w="120"/>
                    <w:bottom w:type="dxa" w:w="60"/>
                    <w:right w:type="dxa" w:w="160"/>
                  </w:tcMar>
                  <w:vAlign w:val="top"/>
                </w:tcPr>
                <w:p>
                  <w:pPr>
                    <w:spacing w:after="20" w:before="20"/>
                    <w:jc w:val="left"/>
                  </w:pPr>
                  <w:r>
                    <w:rPr>
                      <w:rFonts w:ascii="Calibri" w:cs="Calibri" w:eastAsia="Calibri" w:hAnsi="Calibri"/>
                      <w:b/>
                      <w:bCs/>
                      <w:i w:val="false"/>
                      <w:iCs w:val="false"/>
                      <w:color w:val="1565C0"/>
                      <w:sz w:val="20"/>
                      <w:szCs w:val="20"/>
                    </w:rPr>
                    <w:t xml:space="preserve">Psicología clínica</w:t>
                  </w:r>
                </w:p>
              </w:tc>
              <w:tc>
                <w:tcPr>
                  <w:tcW w:type="dxa" w:w="5400"/>
                  <w:tcBorders>
                    <w:top w:val="single" w:color="E0E0E0" w:sz="3"/>
                    <w:left w:val="single" w:color="E0E0E0" w:sz="3"/>
                    <w:bottom w:val="single" w:color="E0E0E0" w:sz="3"/>
                    <w:right w:val="single" w:color="E0E0E0" w:sz="3"/>
                  </w:tcBorders>
                  <w:shd w:fill="FFFFFF" w:val="clear"/>
                  <w:tcMar>
                    <w:top w:type="dxa" w:w="60"/>
                    <w:left w:type="dxa" w:w="120"/>
                    <w:bottom w:type="dxa" w:w="60"/>
                    <w:right w:type="dxa" w:w="160"/>
                  </w:tcMar>
                  <w:vAlign w:val="top"/>
                </w:tcPr>
                <w:p>
                  <w:pPr>
                    <w:spacing w:after="20" w:before="20"/>
                    <w:jc w:val="left"/>
                  </w:pPr>
                  <w:r>
                    <w:rPr>
                      <w:rFonts w:ascii="Calibri" w:cs="Calibri" w:eastAsia="Calibri" w:hAnsi="Calibri"/>
                      <w:b w:val="false"/>
                      <w:bCs w:val="false"/>
                      <w:i w:val="false"/>
                      <w:iCs w:val="false"/>
                      <w:color w:val="263238"/>
                      <w:sz w:val="20"/>
                      <w:szCs w:val="20"/>
                    </w:rPr>
                    <w:t xml:space="preserve">Apoyo al bienestar emocional del niño/a y también de los padres. No es solo para crisis.</w:t>
                  </w:r>
                </w:p>
              </w:tc>
            </w:tr>
          </w:tbl>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60"/>
        <w:gridCol w:w="8500"/>
      </w:tblGrid>
      <w:tr>
        <w:tc>
          <w:tcPr>
            <w:tcW w:type="dxa" w:w="860"/>
            <w:tcBorders>
              <w:top w:val="none" w:color="FFFFFF" w:sz="0"/>
              <w:left w:val="none" w:color="FFFFFF" w:sz="0"/>
              <w:bottom w:val="none" w:color="FFFFFF" w:sz="0"/>
              <w:right w:val="none" w:color="FFFFFF" w:sz="0"/>
            </w:tcBorders>
            <w:shd w:fill="5E35B1" w:val="clear"/>
            <w:tcMar>
              <w:top w:type="dxa" w:w="60"/>
              <w:left w:type="dxa" w:w="40"/>
              <w:bottom w:type="dxa" w:w="60"/>
              <w:right w:type="dxa" w:w="40"/>
            </w:tcMar>
            <w:vAlign w:val="center"/>
          </w:tcPr>
          <w:p>
            <w:pPr>
              <w:spacing w:after="100" w:before="10"/>
              <w:jc w:val="center"/>
            </w:pPr>
            <w:r>
              <w:rPr>
                <w:rFonts w:ascii="Calibri" w:cs="Calibri" w:eastAsia="Calibri" w:hAnsi="Calibri"/>
                <w:b/>
                <w:bCs/>
                <w:i w:val="false"/>
                <w:iCs w:val="false"/>
                <w:color w:val="FFFFFF"/>
                <w:sz w:val="44"/>
                <w:szCs w:val="44"/>
              </w:rPr>
              <w:t xml:space="preserve">6</w:t>
            </w:r>
          </w:p>
          <w:p>
            <w:pPr>
              <w:spacing w:after="10" w:before="0"/>
              <w:jc w:val="center"/>
            </w:pPr>
            <w:r>
              <w:rPr>
                <w:rFonts w:ascii="Calibri" w:cs="Calibri" w:eastAsia="Calibri" w:hAnsi="Calibri"/>
                <w:b w:val="false"/>
                <w:bCs w:val="false"/>
                <w:i w:val="false"/>
                <w:iCs w:val="false"/>
                <w:color w:val="263238"/>
                <w:sz w:val="32"/>
                <w:szCs w:val="32"/>
              </w:rPr>
              <w:t xml:space="preserve">👨‍👩‍👧</w:t>
            </w:r>
          </w:p>
        </w:tc>
        <w:tc>
          <w:tcPr>
            <w:tcW w:type="dxa" w:w="8500"/>
            <w:tcBorders>
              <w:top w:val="single" w:color="5E35B1" w:sz="4"/>
              <w:left w:val="single" w:color="5E35B1" w:sz="4"/>
              <w:bottom w:val="single" w:color="5E35B1" w:sz="4"/>
              <w:right w:val="single" w:color="5E35B1" w:sz="4"/>
            </w:tcBorders>
            <w:shd w:fill="EDE7F6" w:val="clear"/>
            <w:tcMar>
              <w:top w:type="dxa" w:w="60"/>
              <w:left w:type="dxa" w:w="160"/>
              <w:bottom w:type="dxa" w:w="60"/>
              <w:right w:type="dxa" w:w="160"/>
            </w:tcMar>
            <w:vAlign w:val="top"/>
          </w:tcPr>
          <w:p>
            <w:pPr>
              <w:spacing w:after="20" w:before="20"/>
              <w:jc w:val="left"/>
            </w:pPr>
            <w:r>
              <w:rPr>
                <w:rFonts w:ascii="Calibri" w:cs="Calibri" w:eastAsia="Calibri" w:hAnsi="Calibri"/>
                <w:b/>
                <w:bCs/>
                <w:i w:val="false"/>
                <w:iCs w:val="false"/>
                <w:color w:val="5E35B1"/>
                <w:sz w:val="24"/>
                <w:szCs w:val="24"/>
              </w:rPr>
              <w:t xml:space="preserve">Conecta con otras familias</w:t>
            </w:r>
          </w:p>
          <w:p>
            <w:pPr>
              <w:spacing w:after="120" w:before="0"/>
              <w:jc w:val="left"/>
            </w:pPr>
            <w:r>
              <w:rPr>
                <w:rFonts w:ascii="Calibri" w:cs="Calibri" w:eastAsia="Calibri" w:hAnsi="Calibri"/>
                <w:b w:val="false"/>
                <w:bCs w:val="false"/>
                <w:i w:val="false"/>
                <w:iCs w:val="false"/>
                <w:color w:val="263238"/>
                <w:sz w:val="21"/>
                <w:szCs w:val="21"/>
              </w:rPr>
              <w:t xml:space="preserve">Una de las cosas más poderosas que puedes hacer en este momento es encontrar familias que hayan caminado este camino antes que tú. No para comparar a tus hijos, sino para sentirte acompañado/a, aprender estrategias reales y saber que no estás solo/a.</w:t>
            </w:r>
          </w:p>
          <w:p>
            <w:pPr>
              <w:spacing w:after="120" w:before="0"/>
              <w:jc w:val="left"/>
            </w:pPr>
            <w:r>
              <w:rPr>
                <w:rFonts w:ascii="Calibri" w:cs="Calibri" w:eastAsia="Calibri" w:hAnsi="Calibri"/>
                <w:b w:val="false"/>
                <w:bCs w:val="false"/>
                <w:i/>
                <w:iCs/>
                <w:color w:val="263238"/>
                <w:sz w:val="21"/>
                <w:szCs w:val="21"/>
              </w:rPr>
              <w:t xml:space="preserve">Más adelante en esta guía encontrarás grupos y comunidades donde puedes hacerlo.</w:t>
            </w:r>
          </w:p>
        </w:tc>
      </w:tr>
    </w:tbl>
    <w:p>
      <w:pPr>
        <w:spacing w:after="0" w:before="12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2E7D32" w:val="clear"/>
            <w:tcMar>
              <w:top w:type="dxa" w:w="40"/>
              <w:left w:type="dxa" w:w="200"/>
              <w:bottom w:type="dxa" w:w="40"/>
              <w:right w:type="dxa" w:w="200"/>
            </w:tcMar>
            <w:vAlign w:val="top"/>
          </w:tcPr>
          <w:p>
            <w:pPr>
              <w:spacing w:after="16" w:before="60"/>
              <w:jc w:val="left"/>
            </w:pPr>
            <w:r>
              <w:rPr>
                <w:rFonts w:ascii="Calibri" w:cs="Calibri" w:eastAsia="Calibri" w:hAnsi="Calibri"/>
                <w:b/>
                <w:bCs/>
                <w:i w:val="false"/>
                <w:iCs w:val="false"/>
                <w:color w:val="FFFFFF"/>
                <w:sz w:val="28"/>
                <w:szCs w:val="28"/>
              </w:rPr>
              <w:t xml:space="preserve">🏛  SERVICIOS GRATUITOS DEL ESTADO PERUANO</w:t>
            </w:r>
          </w:p>
          <w:p>
            <w:pPr>
              <w:spacing w:after="60" w:before="0"/>
              <w:jc w:val="left"/>
            </w:pPr>
            <w:r>
              <w:rPr>
                <w:rFonts w:ascii="Calibri" w:cs="Calibri" w:eastAsia="Calibri" w:hAnsi="Calibri"/>
                <w:b w:val="false"/>
                <w:bCs w:val="false"/>
                <w:i/>
                <w:iCs/>
                <w:color w:val="B2EBF2"/>
                <w:sz w:val="20"/>
                <w:szCs w:val="20"/>
              </w:rPr>
              <w:t xml:space="preserve">A dónde ir y a quién llamar</w:t>
            </w:r>
          </w:p>
        </w:tc>
      </w:tr>
    </w:tbl>
    <w:p>
      <w:pPr>
        <w:spacing w:after="0" w:before="80"/>
      </w:pPr>
      <w:r>
        <w:rPr>
          <w:rFonts w:ascii="Calibri" w:cs="Calibri" w:eastAsia="Calibri" w:hAnsi="Calibri"/>
          <w:b w:val="false"/>
          <w:bCs w:val="false"/>
          <w:i w:val="false"/>
          <w:iCs w:val="false"/>
          <w:color w:val="263238"/>
          <w:sz w:val="22"/>
          <w:szCs w:val="22"/>
        </w:rPr>
        <w:t xml:space="preserve"/>
      </w:r>
    </w:p>
    <w:p>
      <w:pPr>
        <w:spacing w:after="120" w:before="0"/>
        <w:jc w:val="left"/>
      </w:pPr>
      <w:r>
        <w:rPr>
          <w:rFonts w:ascii="Calibri" w:cs="Calibri" w:eastAsia="Calibri" w:hAnsi="Calibri"/>
          <w:b w:val="false"/>
          <w:bCs w:val="false"/>
          <w:i/>
          <w:iCs/>
          <w:color w:val="555555"/>
          <w:sz w:val="22"/>
          <w:szCs w:val="22"/>
        </w:rPr>
        <w:t xml:space="preserve">El Estado peruano tiene servicios especializados para niños con discapacidad. Son gratuitos y es tu derecho acceder a ellos. Muchas familias no los conocen: esta sección está para que no pierdas tiempo buscando.</w:t>
      </w:r>
    </w:p>
    <w:p>
      <w:pPr>
        <w:spacing w:after="0" w:before="6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D32" w:sz="4"/>
              <w:left w:val="single" w:color="2E7D32" w:sz="4"/>
              <w:bottom w:val="single" w:color="2E7D32" w:sz="4"/>
              <w:right w:val="single" w:color="2E7D32" w:sz="4"/>
            </w:tcBorders>
            <w:shd w:fill="E8F5E9"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2E7D32"/>
                <w:sz w:val="22"/>
                <w:szCs w:val="22"/>
              </w:rPr>
              <w:t xml:space="preserve">🏫  CEBE – Centro de Educación Básica Especial</w: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00897B" w:sz="4"/>
              <w:left w:val="single" w:color="00897B" w:sz="4"/>
              <w:bottom w:val="single" w:color="00897B" w:sz="4"/>
              <w:right w:val="single" w:color="00897B" w:sz="4"/>
            </w:tcBorders>
            <w:shd w:fill="E0F2F1"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00897B"/>
                <w:sz w:val="22"/>
                <w:szCs w:val="22"/>
              </w:rPr>
              <w:t xml:space="preserve">👶  PRITE – Programa de Intervención Temprana</w: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1565C0" w:sz="4"/>
              <w:left w:val="single" w:color="1565C0" w:sz="4"/>
              <w:bottom w:val="single" w:color="1565C0" w:sz="4"/>
              <w:right w:val="single" w:color="1565C0" w:sz="4"/>
            </w:tcBorders>
            <w:shd w:fill="E3F2FD"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1565C0"/>
                <w:sz w:val="22"/>
                <w:szCs w:val="22"/>
              </w:rPr>
              <w:t xml:space="preserve">🤝  SAANEE – Servicio de Apoyo y Asesoramiento para la Atención de las NEE</w: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5A623" w:sz="4"/>
              <w:left w:val="single" w:color="F5A623" w:sz="4"/>
              <w:bottom w:val="single" w:color="F5A623" w:sz="4"/>
              <w:right w:val="single" w:color="F5A623" w:sz="4"/>
            </w:tcBorders>
            <w:shd w:fill="FFF8E1"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F5A623"/>
                <w:sz w:val="22"/>
                <w:szCs w:val="22"/>
              </w:rPr>
              <w:t xml:space="preserve">📞  UGEL – Unidad de Gestión Educativa Local</w: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8352A" w:sz="4"/>
              <w:left w:val="single" w:color="E8352A" w:sz="4"/>
              <w:bottom w:val="single" w:color="E8352A" w:sz="4"/>
              <w:right w:val="single" w:color="E8352A" w:sz="4"/>
            </w:tcBorders>
            <w:shd w:fill="FEECEB"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E8352A"/>
                <w:sz w:val="22"/>
                <w:szCs w:val="22"/>
              </w:rPr>
              <w:t xml:space="preserve">🏥  INSNSB – Instituto Nacional de Salud del Niño San Borja / INR</w: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5E35B1" w:sz="4"/>
              <w:left w:val="single" w:color="5E35B1" w:sz="4"/>
              <w:bottom w:val="single" w:color="5E35B1" w:sz="4"/>
              <w:right w:val="single" w:color="5E35B1" w:sz="4"/>
            </w:tcBorders>
            <w:shd w:fill="EDE7F6"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5E35B1"/>
                <w:sz w:val="22"/>
                <w:szCs w:val="22"/>
              </w:rPr>
              <w:t xml:space="preserve">♿  CONADIS – Consejo Nacional para la Integración de la Persona con Discapacidad</w: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p>
            <w:pPr>
              <w:spacing w:after="120" w:before="0"/>
              <w:jc w:val="left"/>
            </w:pPr>
            <w:r>
              <w:rPr>
                <w:rFonts w:ascii="Calibri" w:cs="Calibri" w:eastAsia="Calibri" w:hAnsi="Calibri"/>
                <w:b w:val="false"/>
                <w:bCs w:val="false"/>
                <w:i w:val="false"/>
                <w:iCs w:val="false"/>
                <w:color w:val="263238"/>
                <w:sz w:val="21"/>
                <w:szCs w:val="21"/>
              </w:rPr>
              <w:t xml:space="default"/>
            </w:r>
          </w:p>
        </w:tc>
      </w:tr>
    </w:tbl>
    <w:p>
      <w:pPr>
        <w:spacing w:after="20" w:before="60"/>
      </w:pPr>
      <w:r>
        <w:rPr>
          <w:rFonts w:ascii="Calibri" w:cs="Calibri" w:eastAsia="Calibri" w:hAnsi="Calibri"/>
          <w:b/>
          <w:bCs/>
          <w:i w:val="false"/>
          <w:iCs w:val="false"/>
          <w:color w:val="AAAAAA"/>
          <w:sz w:val="17"/>
          <w:szCs w:val="17"/>
        </w:rPr>
        <w:t xml:space="preserve">Fuente: </w:t>
      </w:r>
      <w:r>
        <w:rPr>
          <w:rFonts w:ascii="Calibri" w:cs="Calibri" w:eastAsia="Calibri" w:hAnsi="Calibri"/>
          <w:b w:val="false"/>
          <w:bCs w:val="false"/>
          <w:i/>
          <w:iCs/>
          <w:color w:val="AAAAAA"/>
          <w:sz w:val="17"/>
          <w:szCs w:val="17"/>
        </w:rPr>
        <w:t xml:space="preserve">Ley N.° 29973; DS 007-2021-MINEDU; RM 0069-2008-ED; MINEDU (2019) Orientaciones para la atención educativa de estudiantes con TEA</w:t>
      </w:r>
    </w:p>
    <w:p>
      <w:pPr>
        <w:spacing w:after="0" w:before="12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00695C" w:val="clear"/>
            <w:tcMar>
              <w:top w:type="dxa" w:w="40"/>
              <w:left w:type="dxa" w:w="200"/>
              <w:bottom w:type="dxa" w:w="40"/>
              <w:right w:type="dxa" w:w="200"/>
            </w:tcMar>
            <w:vAlign w:val="top"/>
          </w:tcPr>
          <w:p>
            <w:pPr>
              <w:spacing w:after="16" w:before="60"/>
              <w:jc w:val="left"/>
            </w:pPr>
            <w:r>
              <w:rPr>
                <w:rFonts w:ascii="Calibri" w:cs="Calibri" w:eastAsia="Calibri" w:hAnsi="Calibri"/>
                <w:b/>
                <w:bCs/>
                <w:i w:val="false"/>
                <w:iCs w:val="false"/>
                <w:color w:val="FFFFFF"/>
                <w:sz w:val="28"/>
                <w:szCs w:val="28"/>
              </w:rPr>
              <w:t xml:space="preserve">🏠  ESTRATEGIAS PARA EMPEZAR EN CASA</w:t>
            </w:r>
          </w:p>
          <w:p>
            <w:pPr>
              <w:spacing w:after="60" w:before="0"/>
              <w:jc w:val="left"/>
            </w:pPr>
            <w:r>
              <w:rPr>
                <w:rFonts w:ascii="Calibri" w:cs="Calibri" w:eastAsia="Calibri" w:hAnsi="Calibri"/>
                <w:b w:val="false"/>
                <w:bCs w:val="false"/>
                <w:i/>
                <w:iCs/>
                <w:color w:val="B2EBF2"/>
                <w:sz w:val="20"/>
                <w:szCs w:val="20"/>
              </w:rPr>
              <w:t xml:space="preserve">Pequeños cambios con gran impacto</w:t>
            </w:r>
          </w:p>
        </w:tc>
      </w:tr>
    </w:tbl>
    <w:p>
      <w:pPr>
        <w:spacing w:after="0" w:before="80"/>
      </w:pPr>
      <w:r>
        <w:rPr>
          <w:rFonts w:ascii="Calibri" w:cs="Calibri" w:eastAsia="Calibri" w:hAnsi="Calibri"/>
          <w:b w:val="false"/>
          <w:bCs w:val="false"/>
          <w:i w:val="false"/>
          <w:iCs w:val="false"/>
          <w:color w:val="263238"/>
          <w:sz w:val="22"/>
          <w:szCs w:val="22"/>
        </w:rPr>
        <w:t xml:space="preserve"/>
      </w:r>
    </w:p>
    <w:p>
      <w:pPr>
        <w:spacing w:after="120" w:before="0"/>
        <w:jc w:val="left"/>
      </w:pPr>
      <w:r>
        <w:rPr>
          <w:rFonts w:ascii="Calibri" w:cs="Calibri" w:eastAsia="Calibri" w:hAnsi="Calibri"/>
          <w:b w:val="false"/>
          <w:bCs w:val="false"/>
          <w:i/>
          <w:iCs/>
          <w:color w:val="555555"/>
          <w:sz w:val="22"/>
          <w:szCs w:val="22"/>
        </w:rPr>
        <w:t xml:space="preserve">No necesitas convertirte en terapeuta. Estas estrategias sencillas, basadas en evidencia, pueden marcar una diferencia enorme en el día a día de tu familia.</w:t>
      </w:r>
    </w:p>
    <w:p>
      <w:pPr>
        <w:spacing w:after="0" w:before="6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00"/>
        <w:gridCol w:w="4760"/>
      </w:tblGrid>
      <w:tr>
        <w:tc>
          <w:tcPr>
            <w:tcW w:type="dxa" w:w="4600"/>
            <w:tcBorders>
              <w:top w:val="single" w:color="00897B" w:sz="4"/>
              <w:left w:val="single" w:color="00897B" w:sz="4"/>
              <w:bottom w:val="single" w:color="00897B" w:sz="4"/>
              <w:right w:val="single" w:color="00897B" w:sz="4"/>
            </w:tcBorders>
            <w:shd w:fill="E0F2F1" w:val="clear"/>
            <w:tcMar>
              <w:top w:type="dxa" w:w="80"/>
              <w:left w:type="dxa" w:w="160"/>
              <w:bottom w:type="dxa" w:w="80"/>
              <w:right w:type="dxa" w:w="120"/>
            </w:tcMar>
            <w:vAlign w:val="top"/>
          </w:tcPr>
          <w:p>
            <w:pPr>
              <w:spacing w:after="20" w:before="20"/>
              <w:jc w:val="left"/>
            </w:pPr>
            <w:r>
              <w:rPr>
                <w:rFonts w:ascii="Calibri" w:cs="Calibri" w:eastAsia="Calibri" w:hAnsi="Calibri"/>
                <w:b/>
                <w:bCs/>
                <w:i w:val="false"/>
                <w:iCs w:val="false"/>
                <w:color w:val="00897B"/>
                <w:sz w:val="22"/>
                <w:szCs w:val="22"/>
              </w:rPr>
              <w:t xml:space="preserve">🗓  Crea rutinas visuales</w:t>
            </w:r>
          </w:p>
          <w:p>
            <w:pPr>
              <w:spacing w:after="120" w:before="0"/>
              <w:jc w:val="left"/>
            </w:pPr>
            <w:r>
              <w:rPr>
                <w:rFonts w:ascii="Calibri" w:cs="Calibri" w:eastAsia="Calibri" w:hAnsi="Calibri"/>
                <w:b w:val="false"/>
                <w:bCs w:val="false"/>
                <w:i w:val="false"/>
                <w:iCs w:val="false"/>
                <w:color w:val="263238"/>
                <w:sz w:val="21"/>
                <w:szCs w:val="21"/>
              </w:rPr>
              <w:t xml:space="preserve">Los niños con TEA prosperan con la predictibilidad. Un horario con imágenes o pictogramas que muestre qué viene después reduce la ansiedad y las conductas difíciles. No necesitas comprarlo: puedes hacerlo con fotos impresas o dibujadas.</w:t>
            </w:r>
          </w:p>
        </w:tc>
        <w:tc>
          <w:tcPr>
            <w:tcW w:type="dxa" w:w="4760"/>
            <w:tcBorders>
              <w:top w:val="single" w:color="1565C0" w:sz="4"/>
              <w:left w:val="single" w:color="1565C0" w:sz="4"/>
              <w:bottom w:val="single" w:color="1565C0" w:sz="4"/>
              <w:right w:val="single" w:color="1565C0" w:sz="4"/>
            </w:tcBorders>
            <w:shd w:fill="E3F2FD" w:val="clear"/>
            <w:tcMar>
              <w:top w:type="dxa" w:w="80"/>
              <w:left w:type="dxa" w:w="120"/>
              <w:bottom w:type="dxa" w:w="80"/>
              <w:right w:type="dxa" w:w="160"/>
            </w:tcMar>
            <w:vAlign w:val="top"/>
          </w:tcPr>
          <w:p>
            <w:pPr>
              <w:spacing w:after="20" w:before="20"/>
              <w:jc w:val="left"/>
            </w:pPr>
            <w:r>
              <w:rPr>
                <w:rFonts w:ascii="Calibri" w:cs="Calibri" w:eastAsia="Calibri" w:hAnsi="Calibri"/>
                <w:b/>
                <w:bCs/>
                <w:i w:val="false"/>
                <w:iCs w:val="false"/>
                <w:color w:val="1565C0"/>
                <w:sz w:val="22"/>
                <w:szCs w:val="22"/>
              </w:rPr>
              <w:t xml:space="preserve">🎯  Una instrucción a la vez</w:t>
            </w:r>
          </w:p>
          <w:p>
            <w:pPr>
              <w:spacing w:after="120" w:before="0"/>
              <w:jc w:val="left"/>
            </w:pPr>
            <w:r>
              <w:rPr>
                <w:rFonts w:ascii="Calibri" w:cs="Calibri" w:eastAsia="Calibri" w:hAnsi="Calibri"/>
                <w:b w:val="false"/>
                <w:bCs w:val="false"/>
                <w:i w:val="false"/>
                <w:iCs w:val="false"/>
                <w:color w:val="263238"/>
                <w:sz w:val="21"/>
                <w:szCs w:val="21"/>
              </w:rPr>
              <w:t xml:space="preserve">Da instrucciones cortas, claras y de un solo paso: "Pon el plato en la mesa" en lugar de "recoge tu plato, lávalo y ponlo a secar". Si usas imágenes junto con las palabras, la comprensión mejora enormemente.</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00"/>
        <w:gridCol w:w="4760"/>
      </w:tblGrid>
      <w:tr>
        <w:tc>
          <w:tcPr>
            <w:tcW w:type="dxa" w:w="4600"/>
            <w:tcBorders>
              <w:top w:val="single" w:color="2E7D32" w:sz="4"/>
              <w:left w:val="single" w:color="2E7D32" w:sz="4"/>
              <w:bottom w:val="single" w:color="2E7D32" w:sz="4"/>
              <w:right w:val="single" w:color="2E7D32" w:sz="4"/>
            </w:tcBorders>
            <w:shd w:fill="E8F5E9" w:val="clear"/>
            <w:tcMar>
              <w:top w:type="dxa" w:w="80"/>
              <w:left w:type="dxa" w:w="160"/>
              <w:bottom w:type="dxa" w:w="80"/>
              <w:right w:type="dxa" w:w="120"/>
            </w:tcMar>
            <w:vAlign w:val="top"/>
          </w:tcPr>
          <w:p>
            <w:pPr>
              <w:spacing w:after="20" w:before="20"/>
              <w:jc w:val="left"/>
            </w:pPr>
            <w:r>
              <w:rPr>
                <w:rFonts w:ascii="Calibri" w:cs="Calibri" w:eastAsia="Calibri" w:hAnsi="Calibri"/>
                <w:b/>
                <w:bCs/>
                <w:i w:val="false"/>
                <w:iCs w:val="false"/>
                <w:color w:val="2E7D32"/>
                <w:sz w:val="22"/>
                <w:szCs w:val="22"/>
              </w:rPr>
              <w:t xml:space="preserve">✋  "Primero... después..."</w:t>
            </w:r>
          </w:p>
          <w:p>
            <w:pPr>
              <w:spacing w:after="120" w:before="0"/>
              <w:jc w:val="left"/>
            </w:pPr>
            <w:r>
              <w:rPr>
                <w:rFonts w:ascii="Calibri" w:cs="Calibri" w:eastAsia="Calibri" w:hAnsi="Calibri"/>
                <w:b w:val="false"/>
                <w:bCs w:val="false"/>
                <w:i w:val="false"/>
                <w:iCs w:val="false"/>
                <w:color w:val="263238"/>
                <w:sz w:val="21"/>
                <w:szCs w:val="21"/>
              </w:rPr>
              <w:t xml:space="preserve">"Primero te vistes, después comes." Esta estructura simple da al niño una imagen clara de lo que va a pasar. Funciona mejor que decir "si no te vistes no desayunas", que genera ansiedad en lugar de cooperación.</w:t>
            </w:r>
          </w:p>
        </w:tc>
        <w:tc>
          <w:tcPr>
            <w:tcW w:type="dxa" w:w="4760"/>
            <w:tcBorders>
              <w:top w:val="single" w:color="F5A623" w:sz="4"/>
              <w:left w:val="single" w:color="F5A623" w:sz="4"/>
              <w:bottom w:val="single" w:color="F5A623" w:sz="4"/>
              <w:right w:val="single" w:color="F5A623" w:sz="4"/>
            </w:tcBorders>
            <w:shd w:fill="FFF8E1" w:val="clear"/>
            <w:tcMar>
              <w:top w:type="dxa" w:w="80"/>
              <w:left w:type="dxa" w:w="120"/>
              <w:bottom w:type="dxa" w:w="80"/>
              <w:right w:type="dxa" w:w="160"/>
            </w:tcMar>
            <w:vAlign w:val="top"/>
          </w:tcPr>
          <w:p>
            <w:pPr>
              <w:spacing w:after="20" w:before="20"/>
              <w:jc w:val="left"/>
            </w:pPr>
            <w:r>
              <w:rPr>
                <w:rFonts w:ascii="Calibri" w:cs="Calibri" w:eastAsia="Calibri" w:hAnsi="Calibri"/>
                <w:b/>
                <w:bCs/>
                <w:i w:val="false"/>
                <w:iCs w:val="false"/>
                <w:color w:val="F5A623"/>
                <w:sz w:val="22"/>
                <w:szCs w:val="22"/>
              </w:rPr>
              <w:t xml:space="preserve">🔊  Escucha el comportamiento</w:t>
            </w:r>
          </w:p>
          <w:p>
            <w:pPr>
              <w:spacing w:after="120" w:before="0"/>
              <w:jc w:val="left"/>
            </w:pPr>
            <w:r>
              <w:rPr>
                <w:rFonts w:ascii="Calibri" w:cs="Calibri" w:eastAsia="Calibri" w:hAnsi="Calibri"/>
                <w:b w:val="false"/>
                <w:bCs w:val="false"/>
                <w:i w:val="false"/>
                <w:iCs w:val="false"/>
                <w:color w:val="263238"/>
                <w:sz w:val="21"/>
                <w:szCs w:val="21"/>
              </w:rPr>
              <w:t xml:space="preserve">Cuando tu hijo/a se tapa los oídos, huye de una situación o tiene una "rabieta", está comunicando algo que no puede decir con palabras. Pregúntate: ¿qué le está molestando? ¿Qué necesita?</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00"/>
        <w:gridCol w:w="4760"/>
      </w:tblGrid>
      <w:tr>
        <w:tc>
          <w:tcPr>
            <w:tcW w:type="dxa" w:w="4600"/>
            <w:tcBorders>
              <w:top w:val="single" w:color="2E7D32" w:sz="4"/>
              <w:left w:val="single" w:color="2E7D32" w:sz="4"/>
              <w:bottom w:val="single" w:color="2E7D32" w:sz="4"/>
              <w:right w:val="single" w:color="2E7D32" w:sz="4"/>
            </w:tcBorders>
            <w:shd w:fill="E8F5E9" w:val="clear"/>
            <w:tcMar>
              <w:top w:type="dxa" w:w="80"/>
              <w:left w:type="dxa" w:w="160"/>
              <w:bottom w:type="dxa" w:w="80"/>
              <w:right w:type="dxa" w:w="120"/>
            </w:tcMar>
            <w:vAlign w:val="top"/>
          </w:tcPr>
          <w:p>
            <w:pPr>
              <w:spacing w:after="20" w:before="20"/>
              <w:jc w:val="left"/>
            </w:pPr>
            <w:r>
              <w:rPr>
                <w:rFonts w:ascii="Calibri" w:cs="Calibri" w:eastAsia="Calibri" w:hAnsi="Calibri"/>
                <w:b/>
                <w:bCs/>
                <w:i w:val="false"/>
                <w:iCs w:val="false"/>
                <w:color w:val="2E7D32"/>
                <w:sz w:val="22"/>
                <w:szCs w:val="22"/>
              </w:rPr>
              <w:t xml:space="preserve">💚  Celebra los pequeños avances</w:t>
            </w:r>
          </w:p>
          <w:p>
            <w:pPr>
              <w:spacing w:after="120" w:before="0"/>
              <w:jc w:val="left"/>
            </w:pPr>
            <w:r>
              <w:rPr>
                <w:rFonts w:ascii="Calibri" w:cs="Calibri" w:eastAsia="Calibri" w:hAnsi="Calibri"/>
                <w:b w:val="false"/>
                <w:bCs w:val="false"/>
                <w:i w:val="false"/>
                <w:iCs w:val="false"/>
                <w:color w:val="263238"/>
                <w:sz w:val="21"/>
                <w:szCs w:val="21"/>
              </w:rPr>
              <w:t xml:space="preserve">No compares el progreso de tu hijo/a con el de otros niños. Cada pequeño paso —mirar a los ojos, pedir algo con una palabra, tolerar un sonido nuevo— es una victoria enorme. Célébral con entusiasmo genuino.</w:t>
            </w:r>
          </w:p>
        </w:tc>
        <w:tc>
          <w:tcPr>
            <w:tcW w:type="dxa" w:w="4760"/>
            <w:tcBorders>
              <w:top w:val="single" w:color="5E35B1" w:sz="4"/>
              <w:left w:val="single" w:color="5E35B1" w:sz="4"/>
              <w:bottom w:val="single" w:color="5E35B1" w:sz="4"/>
              <w:right w:val="single" w:color="5E35B1" w:sz="4"/>
            </w:tcBorders>
            <w:shd w:fill="EDE7F6" w:val="clear"/>
            <w:tcMar>
              <w:top w:type="dxa" w:w="80"/>
              <w:left w:type="dxa" w:w="120"/>
              <w:bottom w:type="dxa" w:w="80"/>
              <w:right w:type="dxa" w:w="160"/>
            </w:tcMar>
            <w:vAlign w:val="top"/>
          </w:tcPr>
          <w:p>
            <w:pPr>
              <w:spacing w:after="20" w:before="20"/>
              <w:jc w:val="left"/>
            </w:pPr>
            <w:r>
              <w:rPr>
                <w:rFonts w:ascii="Calibri" w:cs="Calibri" w:eastAsia="Calibri" w:hAnsi="Calibri"/>
                <w:b/>
                <w:bCs/>
                <w:i w:val="false"/>
                <w:iCs w:val="false"/>
                <w:color w:val="5E35B1"/>
                <w:sz w:val="22"/>
                <w:szCs w:val="22"/>
              </w:rPr>
              <w:t xml:space="preserve">🧘  Cuídate también tú</w:t>
            </w:r>
          </w:p>
          <w:p>
            <w:pPr>
              <w:spacing w:after="120" w:before="0"/>
              <w:jc w:val="left"/>
            </w:pPr>
            <w:r>
              <w:rPr>
                <w:rFonts w:ascii="Calibri" w:cs="Calibri" w:eastAsia="Calibri" w:hAnsi="Calibri"/>
                <w:b w:val="false"/>
                <w:bCs w:val="false"/>
                <w:i w:val="false"/>
                <w:iCs w:val="false"/>
                <w:color w:val="263238"/>
                <w:sz w:val="21"/>
                <w:szCs w:val="21"/>
              </w:rPr>
              <w:t xml:space="preserve">Padres agotados no pueden apoyar bien a sus hijos. Buscar tiempo para ti, hablar con otros padres o un psicólogo, no es egoísmo: es parte del plan de apoyo de tu hijo/a.</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600"/>
        <w:gridCol w:w="8760"/>
      </w:tblGrid>
      <w:tr>
        <w:tc>
          <w:tcPr>
            <w:tcW w:type="dxa" w:w="600"/>
            <w:tcBorders>
              <w:top w:val="single" w:color="F5A623" w:sz="4"/>
              <w:left w:val="single" w:color="F5A623" w:sz="4"/>
              <w:bottom w:val="single" w:color="F5A623" w:sz="4"/>
              <w:right w:val="single" w:color="F5A623" w:sz="4"/>
            </w:tcBorders>
            <w:shd w:fill="FFF8E1" w:val="clear"/>
            <w:tcMar>
              <w:top w:type="dxa" w:w="80"/>
              <w:left w:type="dxa" w:w="60"/>
              <w:bottom w:type="dxa" w:w="80"/>
              <w:right w:type="dxa" w:w="60"/>
            </w:tcMar>
            <w:vAlign w:val="center"/>
          </w:tcPr>
          <w:p>
            <w:pPr>
              <w:spacing w:after="100" w:before="20"/>
              <w:jc w:val="center"/>
            </w:pPr>
            <w:r>
              <w:rPr>
                <w:rFonts w:ascii="Calibri" w:cs="Calibri" w:eastAsia="Calibri" w:hAnsi="Calibri"/>
                <w:b w:val="false"/>
                <w:bCs w:val="false"/>
                <w:i w:val="false"/>
                <w:iCs w:val="false"/>
                <w:color w:val="263238"/>
                <w:sz w:val="36"/>
                <w:szCs w:val="36"/>
              </w:rPr>
              <w:t xml:space="preserve">💡</w:t>
            </w:r>
          </w:p>
        </w:tc>
        <w:tc>
          <w:tcPr>
            <w:tcW w:type="dxa" w:w="8760"/>
            <w:tcBorders>
              <w:top w:val="single" w:color="F5A623" w:sz="4"/>
              <w:left w:val="single" w:color="F5A623" w:sz="4"/>
              <w:bottom w:val="single" w:color="F5A623" w:sz="4"/>
              <w:right w:val="single" w:color="F5A623" w:sz="4"/>
            </w:tcBorders>
            <w:shd w:fill="FFF8E1" w:val="clear"/>
            <w:tcMar>
              <w:top w:type="dxa" w:w="80"/>
              <w:left w:type="dxa" w:w="140"/>
              <w:bottom w:type="dxa" w:w="80"/>
              <w:right w:type="dxa" w:w="140"/>
            </w:tcMar>
            <w:vAlign w:val="top"/>
          </w:tcPr>
          <w:p>
            <w:pPr>
              <w:spacing w:after="20" w:before="20"/>
              <w:jc w:val="left"/>
            </w:pPr>
            <w:r>
              <w:rPr>
                <w:rFonts w:ascii="Calibri" w:cs="Calibri" w:eastAsia="Calibri" w:hAnsi="Calibri"/>
                <w:b/>
                <w:bCs/>
                <w:i w:val="false"/>
                <w:iCs w:val="false"/>
                <w:color w:val="1A2E5A"/>
                <w:sz w:val="23"/>
                <w:szCs w:val="23"/>
              </w:rPr>
              <w:t xml:space="preserve">Sobre el tiempo de pantallas</w:t>
            </w:r>
          </w:p>
          <w:p>
            <w:pPr>
              <w:spacing w:after="120" w:before="0"/>
              <w:jc w:val="left"/>
            </w:pPr>
            <w:r>
              <w:rPr>
                <w:rFonts w:ascii="Calibri" w:cs="Calibri" w:eastAsia="Calibri" w:hAnsi="Calibri"/>
                <w:b w:val="false"/>
                <w:bCs w:val="false"/>
                <w:i w:val="false"/>
                <w:iCs w:val="false"/>
                <w:color w:val="263238"/>
                <w:sz w:val="21"/>
                <w:szCs w:val="21"/>
              </w:rPr>
              <w:t xml:space="preserve">El tema de las pantallas genera mucha culpa. Lo que dice la evidencia: el contenido importa más que el tiempo. Videos con pictogramas, canciones con vocabulario funcional o aplicaciones de comunicación aumentativa pueden ser herramientas terapéuticas. Lo que no ayuda: pantallas como única forma de calmar conductas difíciles, de forma prolongada y sin interacción del adulto.</w:t>
            </w:r>
          </w:p>
        </w:tc>
      </w:tr>
    </w:tbl>
    <w:p>
      <w:pPr>
        <w:spacing w:after="20" w:before="60"/>
      </w:pPr>
      <w:r>
        <w:rPr>
          <w:rFonts w:ascii="Calibri" w:cs="Calibri" w:eastAsia="Calibri" w:hAnsi="Calibri"/>
          <w:b/>
          <w:bCs/>
          <w:i w:val="false"/>
          <w:iCs w:val="false"/>
          <w:color w:val="AAAAAA"/>
          <w:sz w:val="17"/>
          <w:szCs w:val="17"/>
        </w:rPr>
        <w:t xml:space="preserve">Fuente: </w:t>
      </w:r>
      <w:r>
        <w:rPr>
          <w:rFonts w:ascii="Calibri" w:cs="Calibri" w:eastAsia="Calibri" w:hAnsi="Calibri"/>
          <w:b w:val="false"/>
          <w:bCs w:val="false"/>
          <w:i/>
          <w:iCs/>
          <w:color w:val="AAAAAA"/>
          <w:sz w:val="17"/>
          <w:szCs w:val="17"/>
        </w:rPr>
        <w:t xml:space="preserve">ABA / TEACCH Framework; Lilian Escudero, Special Education Practice (2015–2021); MINEDU (2019) Orientaciones para la atención educativa de estudiantes con TEA</w:t>
      </w:r>
    </w:p>
    <w:p>
      <w:pPr>
        <w:spacing w:after="0" w:before="12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5E35B1" w:val="clear"/>
            <w:tcMar>
              <w:top w:type="dxa" w:w="40"/>
              <w:left w:type="dxa" w:w="200"/>
              <w:bottom w:type="dxa" w:w="40"/>
              <w:right w:type="dxa" w:w="200"/>
            </w:tcMar>
            <w:vAlign w:val="top"/>
          </w:tcPr>
          <w:p>
            <w:pPr>
              <w:spacing w:after="16" w:before="60"/>
              <w:jc w:val="left"/>
            </w:pPr>
            <w:r>
              <w:rPr>
                <w:rFonts w:ascii="Calibri" w:cs="Calibri" w:eastAsia="Calibri" w:hAnsi="Calibri"/>
                <w:b/>
                <w:bCs/>
                <w:i w:val="false"/>
                <w:iCs w:val="false"/>
                <w:color w:val="FFFFFF"/>
                <w:sz w:val="28"/>
                <w:szCs w:val="28"/>
              </w:rPr>
              <w:t xml:space="preserve">🌐  COMUNIDADES Y GRUPOS DE APOYO</w:t>
            </w:r>
          </w:p>
          <w:p>
            <w:pPr>
              <w:spacing w:after="60" w:before="0"/>
              <w:jc w:val="left"/>
            </w:pPr>
            <w:r>
              <w:rPr>
                <w:rFonts w:ascii="Calibri" w:cs="Calibri" w:eastAsia="Calibri" w:hAnsi="Calibri"/>
                <w:b w:val="false"/>
                <w:bCs w:val="false"/>
                <w:i/>
                <w:iCs/>
                <w:color w:val="B2EBF2"/>
                <w:sz w:val="20"/>
                <w:szCs w:val="20"/>
              </w:rPr>
              <w:t xml:space="preserve">No estás solo/a en este camino</w:t>
            </w:r>
          </w:p>
        </w:tc>
      </w:tr>
    </w:tbl>
    <w:p>
      <w:pPr>
        <w:spacing w:after="0" w:before="80"/>
      </w:pPr>
      <w:r>
        <w:rPr>
          <w:rFonts w:ascii="Calibri" w:cs="Calibri" w:eastAsia="Calibri" w:hAnsi="Calibri"/>
          <w:b w:val="false"/>
          <w:bCs w:val="false"/>
          <w:i w:val="false"/>
          <w:iCs w:val="false"/>
          <w:color w:val="263238"/>
          <w:sz w:val="22"/>
          <w:szCs w:val="22"/>
        </w:rPr>
        <w:t xml:space="preserve"/>
      </w:r>
    </w:p>
    <w:p>
      <w:pPr>
        <w:spacing w:after="120" w:before="0"/>
        <w:jc w:val="left"/>
      </w:pPr>
      <w:r>
        <w:rPr>
          <w:rFonts w:ascii="Calibri" w:cs="Calibri" w:eastAsia="Calibri" w:hAnsi="Calibri"/>
          <w:b w:val="false"/>
          <w:bCs w:val="false"/>
          <w:i/>
          <w:iCs/>
          <w:color w:val="555555"/>
          <w:sz w:val="22"/>
          <w:szCs w:val="22"/>
        </w:rPr>
        <w:t xml:space="preserve">Una de las cosas más valiosas que puedes hacer es conectar con familias que entienden lo que estás viviendo. Aquí algunos espacios donde encontrarlas:</w:t>
      </w:r>
    </w:p>
    <w:p>
      <w:pPr>
        <w:spacing w:after="0" w:before="6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5E35B1" w:sz="4"/>
              <w:left w:val="single" w:color="5E35B1" w:sz="4"/>
              <w:bottom w:val="single" w:color="5E35B1" w:sz="4"/>
              <w:right w:val="single" w:color="5E35B1" w:sz="4"/>
            </w:tcBorders>
            <w:shd w:fill="EDE7F6"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5E35B1"/>
                <w:sz w:val="22"/>
                <w:szCs w:val="22"/>
              </w:rPr>
              <w:t xml:space="preserve">🇵🇪  ASPAU – Asociación de Padres con Hijos Autistas del Perú</w:t>
            </w:r>
          </w:p>
          <w:p>
            <w:pPr>
              <w:spacing w:after="120" w:before="0"/>
              <w:jc w:val="left"/>
            </w:pPr>
            <w:r>
              <w:rPr>
                <w:rFonts w:ascii="Calibri" w:cs="Calibri" w:eastAsia="Calibri" w:hAnsi="Calibri"/>
                <w:b w:val="false"/>
                <w:bCs w:val="false"/>
                <w:i w:val="false"/>
                <w:iCs w:val="false"/>
                <w:color w:val="263238"/>
                <w:sz w:val="21"/>
                <w:szCs w:val="21"/>
              </w:rPr>
              <w:t xml:space="preserve">Una de las organizaciones de familias más activas en el Perú. Organiza talleres, encuentros y tiene presencia en redes sociales. Busca su página en Facebook: ASPAU Perú.</w:t>
            </w:r>
          </w:p>
        </w:tc>
      </w:tr>
      <w:tr>
        <w:tc>
          <w:tcPr>
            <w:tcW w:type="dxa" w:w="9360"/>
            <w:tcBorders>
              <w:top w:val="single" w:color="00897B" w:sz="4"/>
              <w:left w:val="single" w:color="00897B" w:sz="4"/>
              <w:bottom w:val="single" w:color="00897B" w:sz="4"/>
              <w:right w:val="single" w:color="00897B" w:sz="4"/>
            </w:tcBorders>
            <w:shd w:fill="E0F2F1"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00695C"/>
                <w:sz w:val="22"/>
                <w:szCs w:val="22"/>
              </w:rPr>
              <w:t xml:space="preserve">🤝  Grupos de WhatsApp y Facebook de familias TEA en Perú</w:t>
            </w:r>
          </w:p>
          <w:p>
            <w:pPr>
              <w:spacing w:after="120" w:before="0"/>
              <w:jc w:val="left"/>
            </w:pPr>
            <w:r>
              <w:rPr>
                <w:rFonts w:ascii="Calibri" w:cs="Calibri" w:eastAsia="Calibri" w:hAnsi="Calibri"/>
                <w:b w:val="false"/>
                <w:bCs w:val="false"/>
                <w:i w:val="false"/>
                <w:iCs w:val="false"/>
                <w:color w:val="263238"/>
                <w:sz w:val="21"/>
                <w:szCs w:val="21"/>
              </w:rPr>
              <w:t xml:space="preserve">Busca en Facebook grupos como "Padres con hijos autistas Perú", "TEA mamás y papás Perú", o grupos por ciudad (Lima, Arequipa, Trujillo, etc.). Son espacios de consulta diaria, recomendaciones de especialistas y apoyo emocional.</w:t>
            </w:r>
          </w:p>
        </w:tc>
      </w:tr>
      <w:tr>
        <w:tc>
          <w:tcPr>
            <w:tcW w:type="dxa" w:w="9360"/>
            <w:tcBorders>
              <w:top w:val="single" w:color="1565C0" w:sz="4"/>
              <w:left w:val="single" w:color="1565C0" w:sz="4"/>
              <w:bottom w:val="single" w:color="1565C0" w:sz="4"/>
              <w:right w:val="single" w:color="1565C0" w:sz="4"/>
            </w:tcBorders>
            <w:shd w:fill="E3F2FD"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1565C0"/>
                <w:sz w:val="22"/>
                <w:szCs w:val="22"/>
              </w:rPr>
              <w:t xml:space="preserve">🌍  Autism Speaks en español – autismspeaks.org/es</w:t>
            </w:r>
          </w:p>
          <w:p>
            <w:pPr>
              <w:spacing w:after="120" w:before="0"/>
              <w:jc w:val="left"/>
            </w:pPr>
            <w:r>
              <w:rPr>
                <w:rFonts w:ascii="Calibri" w:cs="Calibri" w:eastAsia="Calibri" w:hAnsi="Calibri"/>
                <w:b w:val="false"/>
                <w:bCs w:val="false"/>
                <w:i w:val="false"/>
                <w:iCs w:val="false"/>
                <w:color w:val="263238"/>
                <w:sz w:val="21"/>
                <w:szCs w:val="21"/>
              </w:rPr>
              <w:t xml:space="preserve">Recursos educativos en español para familias, incluyendo guías de primeros pasos, videos y herramientas de comunicación. Es un buen lugar para leer y formarse en los primeros meses.</w:t>
            </w:r>
          </w:p>
        </w:tc>
      </w:tr>
      <w:tr>
        <w:tc>
          <w:tcPr>
            <w:tcW w:type="dxa" w:w="9360"/>
            <w:tcBorders>
              <w:top w:val="single" w:color="E8352A" w:sz="4"/>
              <w:left w:val="single" w:color="E8352A" w:sz="4"/>
              <w:bottom w:val="single" w:color="E8352A" w:sz="4"/>
              <w:right w:val="single" w:color="E8352A" w:sz="4"/>
            </w:tcBorders>
            <w:shd w:fill="FEECEB" w:val="clear"/>
            <w:tcMar>
              <w:top w:type="dxa" w:w="80"/>
              <w:left w:type="dxa" w:w="160"/>
              <w:bottom w:type="dxa" w:w="80"/>
              <w:right w:type="dxa" w:w="160"/>
            </w:tcMar>
            <w:vAlign w:val="top"/>
          </w:tcPr>
          <w:p>
            <w:pPr>
              <w:spacing w:after="16" w:before="20"/>
              <w:jc w:val="left"/>
            </w:pPr>
            <w:r>
              <w:rPr>
                <w:rFonts w:ascii="Calibri" w:cs="Calibri" w:eastAsia="Calibri" w:hAnsi="Calibri"/>
                <w:b/>
                <w:bCs/>
                <w:i w:val="false"/>
                <w:iCs w:val="false"/>
                <w:color w:val="E8352A"/>
                <w:sz w:val="22"/>
                <w:szCs w:val="22"/>
              </w:rPr>
              <w:t xml:space="preserve">✦  Educa Spectrum – educaspectrum.com</w:t>
            </w:r>
          </w:p>
          <w:p>
            <w:pPr>
              <w:spacing w:after="120" w:before="0"/>
              <w:jc w:val="left"/>
            </w:pPr>
            <w:r>
              <w:rPr>
                <w:rFonts w:ascii="Calibri" w:cs="Calibri" w:eastAsia="Calibri" w:hAnsi="Calibri"/>
                <w:b w:val="false"/>
                <w:bCs w:val="false"/>
                <w:i w:val="false"/>
                <w:iCs w:val="false"/>
                <w:color w:val="263238"/>
                <w:sz w:val="21"/>
                <w:szCs w:val="21"/>
              </w:rPr>
              <w:t xml:space="preserve">Talleres para padres, asesoría familiar y acompañamiento educativo especializado. Ofrecemos orientación práctica para el hogar y el colegio, con enfoque en las realidades del contexto peruano y latinoamericano.</w:t>
            </w:r>
          </w:p>
        </w:tc>
      </w:tr>
    </w:tbl>
    <w:p>
      <w:pPr>
        <w:spacing w:after="0" w:before="12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E8352A" w:val="clear"/>
            <w:tcMar>
              <w:top w:type="dxa" w:w="40"/>
              <w:left w:type="dxa" w:w="200"/>
              <w:bottom w:type="dxa" w:w="40"/>
              <w:right w:type="dxa" w:w="200"/>
            </w:tcMar>
            <w:vAlign w:val="top"/>
          </w:tcPr>
          <w:p>
            <w:pPr>
              <w:spacing w:after="16" w:before="60"/>
              <w:jc w:val="left"/>
            </w:pPr>
            <w:r>
              <w:rPr>
                <w:rFonts w:ascii="Calibri" w:cs="Calibri" w:eastAsia="Calibri" w:hAnsi="Calibri"/>
                <w:b/>
                <w:bCs/>
                <w:i w:val="false"/>
                <w:iCs w:val="false"/>
                <w:color w:val="FFFFFF"/>
                <w:sz w:val="28"/>
                <w:szCs w:val="28"/>
              </w:rPr>
              <w:t xml:space="preserve">🚫  MITOS QUE PUEDES SOLTAR DESDE HOY</w:t>
            </w:r>
          </w:p>
          <w:p>
            <w:pPr>
              <w:spacing w:after="60" w:before="0"/>
              <w:jc w:val="left"/>
            </w:pPr>
            <w:r>
              <w:rPr>
                <w:rFonts w:ascii="Calibri" w:cs="Calibri" w:eastAsia="Calibri" w:hAnsi="Calibri"/>
                <w:b w:val="false"/>
                <w:bCs w:val="false"/>
                <w:i/>
                <w:iCs/>
                <w:color w:val="B2EBF2"/>
                <w:sz w:val="20"/>
                <w:szCs w:val="20"/>
              </w:rPr>
              <w:t xml:space="preserve">Porque la desinformación también cansa</w:t>
            </w:r>
          </w:p>
        </w:tc>
      </w:tr>
    </w:tbl>
    <w:p>
      <w:pPr>
        <w:spacing w:after="0" w:before="8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00"/>
        <w:gridCol w:w="4760"/>
      </w:tblGrid>
      <w:tr>
        <w:tc>
          <w:tcPr>
            <w:tcW w:type="dxa" w:w="4600"/>
            <w:tcBorders>
              <w:top w:val="single" w:color="E8352A" w:sz="4"/>
              <w:left w:val="single" w:color="E8352A" w:sz="4"/>
              <w:bottom w:val="single" w:color="E8352A" w:sz="4"/>
              <w:right w:val="single" w:color="E8352A" w:sz="4"/>
            </w:tcBorders>
            <w:shd w:fill="FEECEB" w:val="clear"/>
            <w:tcMar>
              <w:top w:type="dxa" w:w="80"/>
              <w:left w:type="dxa" w:w="140"/>
              <w:bottom w:type="dxa" w:w="80"/>
              <w:right w:type="dxa" w:w="100"/>
            </w:tcMar>
            <w:vAlign w:val="top"/>
          </w:tcPr>
          <w:p>
            <w:pPr>
              <w:spacing w:after="16" w:before="20"/>
              <w:jc w:val="left"/>
            </w:pPr>
            <w:r>
              <w:rPr>
                <w:rFonts w:ascii="Calibri" w:cs="Calibri" w:eastAsia="Calibri" w:hAnsi="Calibri"/>
                <w:b/>
                <w:bCs/>
                <w:i w:val="false"/>
                <w:iCs w:val="false"/>
                <w:color w:val="E8352A"/>
                <w:sz w:val="22"/>
                <w:szCs w:val="22"/>
              </w:rPr>
              <w:t xml:space="preserve">❌  "Es culpa de la crianza"</w:t>
            </w:r>
          </w:p>
          <w:p>
            <w:pPr>
              <w:spacing w:after="120" w:before="0"/>
              <w:jc w:val="left"/>
            </w:pPr>
            <w:r>
              <w:rPr>
                <w:rFonts w:ascii="Calibri" w:cs="Calibri" w:eastAsia="Calibri" w:hAnsi="Calibri"/>
                <w:b w:val="false"/>
                <w:bCs w:val="false"/>
                <w:i w:val="false"/>
                <w:iCs w:val="false"/>
                <w:color w:val="263238"/>
                <w:sz w:val="21"/>
                <w:szCs w:val="21"/>
              </w:rPr>
              <w:t xml:space="preserve">El autismo no es causado por lo que hiciste o dejaste de hacer. Es una condición neurológica con base biológica. Nada de lo que hiciste lo causó.</w:t>
            </w:r>
          </w:p>
        </w:tc>
        <w:tc>
          <w:tcPr>
            <w:tcW w:type="dxa" w:w="4760"/>
            <w:tcBorders>
              <w:top w:val="single" w:color="E8352A" w:sz="4"/>
              <w:left w:val="single" w:color="E8352A" w:sz="4"/>
              <w:bottom w:val="single" w:color="E8352A" w:sz="4"/>
              <w:right w:val="single" w:color="E8352A" w:sz="4"/>
            </w:tcBorders>
            <w:shd w:fill="FEECEB" w:val="clear"/>
            <w:tcMar>
              <w:top w:type="dxa" w:w="80"/>
              <w:left w:type="dxa" w:w="100"/>
              <w:bottom w:type="dxa" w:w="80"/>
              <w:right w:type="dxa" w:w="140"/>
            </w:tcMar>
            <w:vAlign w:val="top"/>
          </w:tcPr>
          <w:p>
            <w:pPr>
              <w:spacing w:after="16" w:before="20"/>
              <w:jc w:val="left"/>
            </w:pPr>
            <w:r>
              <w:rPr>
                <w:rFonts w:ascii="Calibri" w:cs="Calibri" w:eastAsia="Calibri" w:hAnsi="Calibri"/>
                <w:b/>
                <w:bCs/>
                <w:i w:val="false"/>
                <w:iCs w:val="false"/>
                <w:color w:val="E8352A"/>
                <w:sz w:val="22"/>
                <w:szCs w:val="22"/>
              </w:rPr>
              <w:t xml:space="preserve">❌  "Con amor y disciplina se cura"</w:t>
            </w:r>
          </w:p>
          <w:p>
            <w:pPr>
              <w:spacing w:after="120" w:before="0"/>
              <w:jc w:val="left"/>
            </w:pPr>
            <w:r>
              <w:rPr>
                <w:rFonts w:ascii="Calibri" w:cs="Calibri" w:eastAsia="Calibri" w:hAnsi="Calibri"/>
                <w:b w:val="false"/>
                <w:bCs w:val="false"/>
                <w:i w:val="false"/>
                <w:iCs w:val="false"/>
                <w:color w:val="263238"/>
                <w:sz w:val="21"/>
                <w:szCs w:val="21"/>
              </w:rPr>
              <w:t xml:space="preserve">El autismo no se cura, ni necesita curarse. Con apoyo adecuado, los niños con TEA desarrollan habilidades, aprenden y tienen una vida plena. El objetivo no es que "parezcan normales" sino que sean felices y autónomos.</w:t>
            </w:r>
          </w:p>
        </w:tc>
      </w:tr>
      <w:tr>
        <w:tc>
          <w:tcPr>
            <w:tcW w:type="dxa" w:w="4600"/>
            <w:tcBorders>
              <w:top w:val="single" w:color="1A2E5A" w:sz="4"/>
              <w:left w:val="single" w:color="1A2E5A" w:sz="4"/>
              <w:bottom w:val="single" w:color="1A2E5A" w:sz="4"/>
              <w:right w:val="single" w:color="1A2E5A" w:sz="4"/>
            </w:tcBorders>
            <w:shd w:fill="E3F2FD" w:val="clear"/>
            <w:tcMar>
              <w:top w:type="dxa" w:w="80"/>
              <w:left w:type="dxa" w:w="140"/>
              <w:bottom w:type="dxa" w:w="80"/>
              <w:right w:type="dxa" w:w="100"/>
            </w:tcMar>
            <w:vAlign w:val="top"/>
          </w:tcPr>
          <w:p>
            <w:pPr>
              <w:spacing w:after="16" w:before="20"/>
              <w:jc w:val="left"/>
            </w:pPr>
            <w:r>
              <w:rPr>
                <w:rFonts w:ascii="Calibri" w:cs="Calibri" w:eastAsia="Calibri" w:hAnsi="Calibri"/>
                <w:b/>
                <w:bCs/>
                <w:i w:val="false"/>
                <w:iCs w:val="false"/>
                <w:color w:val="1A2E5A"/>
                <w:sz w:val="22"/>
                <w:szCs w:val="22"/>
              </w:rPr>
              <w:t xml:space="preserve">❌  "No puede aprender"</w:t>
            </w:r>
          </w:p>
          <w:p>
            <w:pPr>
              <w:spacing w:after="120" w:before="0"/>
              <w:jc w:val="left"/>
            </w:pPr>
            <w:r>
              <w:rPr>
                <w:rFonts w:ascii="Calibri" w:cs="Calibri" w:eastAsia="Calibri" w:hAnsi="Calibri"/>
                <w:b w:val="false"/>
                <w:bCs w:val="false"/>
                <w:i w:val="false"/>
                <w:iCs w:val="false"/>
                <w:color w:val="263238"/>
                <w:sz w:val="21"/>
                <w:szCs w:val="21"/>
              </w:rPr>
              <w:t xml:space="preserve">Todos los niños con TEA pueden aprender. Lo que varía es el cómo y el ritmo. Con los apoyos correctos, el progreso puede ser sorprendente.</w:t>
            </w:r>
          </w:p>
        </w:tc>
        <w:tc>
          <w:tcPr>
            <w:tcW w:type="dxa" w:w="4760"/>
            <w:tcBorders>
              <w:top w:val="single" w:color="1A2E5A" w:sz="4"/>
              <w:left w:val="single" w:color="1A2E5A" w:sz="4"/>
              <w:bottom w:val="single" w:color="1A2E5A" w:sz="4"/>
              <w:right w:val="single" w:color="1A2E5A" w:sz="4"/>
            </w:tcBorders>
            <w:shd w:fill="E3F2FD" w:val="clear"/>
            <w:tcMar>
              <w:top w:type="dxa" w:w="80"/>
              <w:left w:type="dxa" w:w="100"/>
              <w:bottom w:type="dxa" w:w="80"/>
              <w:right w:type="dxa" w:w="140"/>
            </w:tcMar>
            <w:vAlign w:val="top"/>
          </w:tcPr>
          <w:p>
            <w:pPr>
              <w:spacing w:after="16" w:before="20"/>
              <w:jc w:val="left"/>
            </w:pPr>
            <w:r>
              <w:rPr>
                <w:rFonts w:ascii="Calibri" w:cs="Calibri" w:eastAsia="Calibri" w:hAnsi="Calibri"/>
                <w:b/>
                <w:bCs/>
                <w:i w:val="false"/>
                <w:iCs w:val="false"/>
                <w:color w:val="1A2E5A"/>
                <w:sz w:val="22"/>
                <w:szCs w:val="22"/>
              </w:rPr>
              <w:t xml:space="preserve">❌  "Mejor en un colegio especial"</w:t>
            </w:r>
          </w:p>
          <w:p>
            <w:pPr>
              <w:spacing w:after="120" w:before="0"/>
              <w:jc w:val="left"/>
            </w:pPr>
            <w:r>
              <w:rPr>
                <w:rFonts w:ascii="Calibri" w:cs="Calibri" w:eastAsia="Calibri" w:hAnsi="Calibri"/>
                <w:b w:val="false"/>
                <w:bCs w:val="false"/>
                <w:i w:val="false"/>
                <w:iCs w:val="false"/>
                <w:color w:val="263238"/>
                <w:sz w:val="21"/>
                <w:szCs w:val="21"/>
              </w:rPr>
              <w:t xml:space="preserve">La evidencia dice que la mayoría de niños con TEA se benefician de estar en aulas regulares con los apoyos correctos. La inclusión bien hecha favorece el desarrollo social y académico.</w:t>
            </w:r>
          </w:p>
        </w:tc>
      </w:tr>
    </w:tbl>
    <w:p>
      <w:pPr>
        <w:spacing w:after="20" w:before="60"/>
      </w:pPr>
      <w:r>
        <w:rPr>
          <w:rFonts w:ascii="Calibri" w:cs="Calibri" w:eastAsia="Calibri" w:hAnsi="Calibri"/>
          <w:b/>
          <w:bCs/>
          <w:i w:val="false"/>
          <w:iCs w:val="false"/>
          <w:color w:val="AAAAAA"/>
          <w:sz w:val="17"/>
          <w:szCs w:val="17"/>
        </w:rPr>
        <w:t xml:space="preserve">Fuente: </w:t>
      </w:r>
      <w:r>
        <w:rPr>
          <w:rFonts w:ascii="Calibri" w:cs="Calibri" w:eastAsia="Calibri" w:hAnsi="Calibri"/>
          <w:b w:val="false"/>
          <w:bCs w:val="false"/>
          <w:i/>
          <w:iCs/>
          <w:color w:val="AAAAAA"/>
          <w:sz w:val="17"/>
          <w:szCs w:val="17"/>
        </w:rPr>
        <w:t xml:space="preserve">Corazon Spectrum – Educa Spectrum (2024); DSM-5, APA (2013); Escudero (2016), McGill University</w:t>
      </w:r>
    </w:p>
    <w:p>
      <w:pPr>
        <w:spacing w:after="0" w:before="12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1A2E5A" w:val="clear"/>
            <w:tcMar>
              <w:top w:type="dxa" w:w="60"/>
              <w:left w:type="dxa" w:w="240"/>
              <w:bottom w:type="dxa" w:w="60"/>
              <w:right w:type="dxa" w:w="240"/>
            </w:tcMar>
            <w:vAlign w:val="top"/>
          </w:tcPr>
          <w:p>
            <w:pPr>
              <w:spacing w:after="40" w:before="60"/>
              <w:jc w:val="center"/>
            </w:pPr>
            <w:r>
              <w:rPr>
                <w:rFonts w:ascii="Calibri" w:cs="Calibri" w:eastAsia="Calibri" w:hAnsi="Calibri"/>
                <w:b/>
                <w:bCs/>
                <w:i w:val="false"/>
                <w:iCs w:val="false"/>
                <w:color w:val="FFFFFF"/>
                <w:sz w:val="28"/>
                <w:szCs w:val="28"/>
              </w:rPr>
              <w:t xml:space="preserve">Una última cosa antes de que sigas</w:t>
            </w:r>
          </w:p>
          <w:p>
            <w:pPr>
              <w:spacing w:after="120" w:before="0"/>
              <w:jc w:val="left"/>
            </w:pPr>
            <w:r>
              <w:rPr>
                <w:rFonts w:ascii="Calibri" w:cs="Calibri" w:eastAsia="Calibri" w:hAnsi="Calibri"/>
                <w:b w:val="false"/>
                <w:bCs w:val="false"/>
                <w:i w:val="false"/>
                <w:iCs w:val="false"/>
                <w:color w:val="E0F2F1"/>
                <w:sz w:val="22"/>
                <w:szCs w:val="22"/>
              </w:rPr>
              <w:t xml:space="preserve">No tienes que convertirte en experto de la noche a la mañana. No tienes que leer todos los libros, hacer todas las terapias ni tenerlo todo resuelto esta semana. </w:t>
            </w:r>
            <w:r>
              <w:rPr>
                <w:rFonts w:ascii="Calibri" w:cs="Calibri" w:eastAsia="Calibri" w:hAnsi="Calibri"/>
                <w:b/>
                <w:bCs/>
                <w:i w:val="false"/>
                <w:iCs w:val="false"/>
                <w:color w:val="FFFFFF"/>
                <w:sz w:val="22"/>
                <w:szCs w:val="22"/>
              </w:rPr>
              <w:t xml:space="preserve">Tu hijo/a no necesita la versión más informada de ti. Necesita la versión más presente.</w:t>
            </w:r>
          </w:p>
          <w:p>
            <w:pPr>
              <w:spacing w:after="0" w:before="30"/>
            </w:pPr>
            <w:r>
              <w:rPr>
                <w:rFonts w:ascii="Calibri" w:cs="Calibri" w:eastAsia="Calibri" w:hAnsi="Calibri"/>
                <w:b w:val="false"/>
                <w:bCs w:val="false"/>
                <w:i w:val="false"/>
                <w:iCs w:val="false"/>
                <w:color w:val="263238"/>
                <w:sz w:val="22"/>
                <w:szCs w:val="22"/>
              </w:rPr>
              <w:t xml:space="preserve"/>
            </w:r>
          </w:p>
          <w:p>
            <w:pPr>
              <w:spacing w:after="120" w:before="0"/>
              <w:jc w:val="left"/>
            </w:pPr>
            <w:r>
              <w:rPr>
                <w:rFonts w:ascii="Calibri" w:cs="Calibri" w:eastAsia="Calibri" w:hAnsi="Calibri"/>
                <w:b w:val="false"/>
                <w:bCs w:val="false"/>
                <w:i w:val="false"/>
                <w:iCs w:val="false"/>
                <w:color w:val="B2EBF2"/>
                <w:sz w:val="22"/>
                <w:szCs w:val="22"/>
              </w:rPr>
              <w:t xml:space="preserve">Habrá días difíciles y días maravillosos. Días en que sentirás que vas para adelante y días en que todo parece retroceder. Eso es normal. Es el camino, no el fracaso.</w:t>
            </w:r>
          </w:p>
          <w:p>
            <w:pPr>
              <w:spacing w:after="0" w:before="20"/>
            </w:pPr>
            <w:r>
              <w:rPr>
                <w:rFonts w:ascii="Calibri" w:cs="Calibri" w:eastAsia="Calibri" w:hAnsi="Calibri"/>
                <w:b w:val="false"/>
                <w:bCs w:val="false"/>
                <w:i w:val="false"/>
                <w:iCs w:val="false"/>
                <w:color w:val="263238"/>
                <w:sz w:val="22"/>
                <w:szCs w:val="22"/>
              </w:rPr>
              <w:t xml:space="preserve"/>
            </w:r>
          </w:p>
          <w:p>
            <w:pPr>
              <w:spacing w:after="120" w:before="20"/>
              <w:jc w:val="left"/>
            </w:pPr>
            <w:r>
              <w:rPr>
                <w:rFonts w:ascii="Calibri" w:cs="Calibri" w:eastAsia="Calibri" w:hAnsi="Calibri"/>
                <w:b/>
                <w:bCs/>
                <w:i w:val="false"/>
                <w:iCs w:val="false"/>
                <w:color w:val="FFFFFF"/>
                <w:sz w:val="22"/>
                <w:szCs w:val="22"/>
              </w:rPr>
              <w:t xml:space="preserve">En Educa Spectrum estamos aquí para acompañarte. </w:t>
            </w:r>
            <w:r>
              <w:rPr>
                <w:rFonts w:ascii="Calibri" w:cs="Calibri" w:eastAsia="Calibri" w:hAnsi="Calibri"/>
                <w:b w:val="false"/>
                <w:bCs w:val="false"/>
                <w:i/>
                <w:iCs/>
                <w:color w:val="80CBC4"/>
                <w:sz w:val="22"/>
                <w:szCs w:val="22"/>
              </w:rPr>
              <w:t xml:space="preserve">Bienvenido/a a esta comunidad.</w:t>
            </w:r>
          </w:p>
          <w:p>
            <w:pPr>
              <w:spacing w:after="0" w:before="60"/>
            </w:pPr>
            <w:r>
              <w:rPr>
                <w:rFonts w:ascii="Calibri" w:cs="Calibri" w:eastAsia="Calibri" w:hAnsi="Calibri"/>
                <w:b w:val="false"/>
                <w:bCs w:val="false"/>
                <w:i w:val="false"/>
                <w:iCs w:val="false"/>
                <w:color w:val="263238"/>
                <w:sz w:val="22"/>
                <w:szCs w:val="22"/>
              </w:rPr>
              <w:t xml:space="preserve"/>
            </w:r>
          </w:p>
        </w:tc>
      </w:tr>
    </w:tbl>
    <w:p>
      <w:pPr>
        <w:spacing w:after="0" w:before="10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263238" w:val="clear"/>
            <w:tcMar>
              <w:top w:type="dxa" w:w="40"/>
              <w:left w:type="dxa" w:w="200"/>
              <w:bottom w:type="dxa" w:w="40"/>
              <w:right w:type="dxa" w:w="200"/>
            </w:tcMar>
            <w:vAlign w:val="top"/>
          </w:tcPr>
          <w:p>
            <w:pPr>
              <w:spacing w:after="16" w:before="60"/>
              <w:jc w:val="left"/>
            </w:pPr>
            <w:r>
              <w:rPr>
                <w:rFonts w:ascii="Calibri" w:cs="Calibri" w:eastAsia="Calibri" w:hAnsi="Calibri"/>
                <w:b/>
                <w:bCs/>
                <w:i w:val="false"/>
                <w:iCs w:val="false"/>
                <w:color w:val="FFFFFF"/>
                <w:sz w:val="28"/>
                <w:szCs w:val="28"/>
              </w:rPr>
              <w:t xml:space="preserve">📖  FUENTES Y REFERENCIAS</w:t>
            </w:r>
          </w:p>
          <w:p>
            <w:pPr>
              <w:spacing w:after="60" w:before="0"/>
              <w:jc w:val="left"/>
            </w:pPr>
            <w:r>
              <w:rPr>
                <w:rFonts w:ascii="Calibri" w:cs="Calibri" w:eastAsia="Calibri" w:hAnsi="Calibri"/>
                <w:b w:val="false"/>
                <w:bCs w:val="false"/>
                <w:i/>
                <w:iCs/>
                <w:color w:val="B2EBF2"/>
                <w:sz w:val="20"/>
                <w:szCs w:val="20"/>
              </w:rPr>
              <w:t xml:space="preserve">Base científica y normativa de esta guía</w:t>
            </w:r>
          </w:p>
        </w:tc>
      </w:tr>
    </w:tbl>
    <w:p>
      <w:pPr>
        <w:spacing w:after="0" w:before="60"/>
      </w:pPr>
      <w:r>
        <w:rPr>
          <w:rFonts w:ascii="Calibri" w:cs="Calibri" w:eastAsia="Calibri" w:hAnsi="Calibri"/>
          <w:b w:val="false"/>
          <w:bCs w:val="false"/>
          <w:i w:val="false"/>
          <w:iCs w:val="false"/>
          <w:color w:val="263238"/>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0E0E0" w:sz="3"/>
              <w:left w:val="single" w:color="E0E0E0" w:sz="3"/>
              <w:bottom w:val="single" w:color="E0E0E0" w:sz="3"/>
              <w:right w:val="single" w:color="E0E0E0" w:sz="3"/>
            </w:tcBorders>
            <w:shd w:fill="F7F7F7" w:val="clear"/>
            <w:tcMar>
              <w:top w:type="dxa" w:w="80"/>
              <w:left w:type="dxa" w:w="160"/>
              <w:bottom w:type="dxa" w:w="80"/>
              <w:right w:type="dxa" w:w="160"/>
            </w:tcMar>
            <w:vAlign w:val="top"/>
          </w:tcPr>
          <w:p>
            <w:pPr>
              <w:spacing w:after="20" w:before="20"/>
              <w:jc w:val="left"/>
            </w:pPr>
            <w:r>
              <w:rPr>
                <w:rFonts w:ascii="Calibri" w:cs="Calibri" w:eastAsia="Calibri" w:hAnsi="Calibri"/>
                <w:b/>
                <w:bCs/>
                <w:i w:val="false"/>
                <w:iCs w:val="false"/>
                <w:color w:val="1A2E5A"/>
                <w:sz w:val="21"/>
                <w:szCs w:val="21"/>
              </w:rPr>
              <w:t xml:space="preserve">Normativa peruana:</w:t>
            </w:r>
          </w:p>
          <w:p>
            <w:pPr>
              <w:spacing w:after="120" w:before="0"/>
              <w:jc w:val="left"/>
            </w:pPr>
            <w:r>
              <w:rPr>
                <w:rFonts w:ascii="Calibri" w:cs="Calibri" w:eastAsia="Calibri" w:hAnsi="Calibri"/>
                <w:b w:val="false"/>
                <w:bCs w:val="false"/>
                <w:i w:val="false"/>
                <w:iCs w:val="false"/>
                <w:color w:val="555555"/>
                <w:sz w:val="19"/>
                <w:szCs w:val="19"/>
              </w:rPr>
              <w:t xml:space="preserve">• Ley N.° 29973 – Ley General de la Persona con Discapacidad (2012).</w:t>
            </w:r>
          </w:p>
          <w:p>
            <w:pPr>
              <w:spacing w:after="120" w:before="0"/>
              <w:jc w:val="left"/>
            </w:pPr>
            <w:r>
              <w:rPr>
                <w:rFonts w:ascii="Calibri" w:cs="Calibri" w:eastAsia="Calibri" w:hAnsi="Calibri"/>
                <w:b w:val="false"/>
                <w:bCs w:val="false"/>
                <w:i w:val="false"/>
                <w:iCs w:val="false"/>
                <w:color w:val="555555"/>
                <w:sz w:val="19"/>
                <w:szCs w:val="19"/>
              </w:rPr>
              <w:t xml:space="preserve">• Decreto Supremo N.° 007-2021-MINEDU – Reglamento de la Educación Básica Especial.</w:t>
            </w:r>
          </w:p>
          <w:p>
            <w:pPr>
              <w:spacing w:after="120" w:before="0"/>
              <w:jc w:val="left"/>
            </w:pPr>
            <w:r>
              <w:rPr>
                <w:rFonts w:ascii="Calibri" w:cs="Calibri" w:eastAsia="Calibri" w:hAnsi="Calibri"/>
                <w:b w:val="false"/>
                <w:bCs w:val="false"/>
                <w:i w:val="false"/>
                <w:iCs w:val="false"/>
                <w:color w:val="555555"/>
                <w:sz w:val="19"/>
                <w:szCs w:val="19"/>
              </w:rPr>
              <w:t xml:space="preserve">• RM N.° 0069-2008-ED – Directiva de funcionamiento del SAANEE y PRITE.</w:t>
            </w:r>
          </w:p>
          <w:p>
            <w:pPr>
              <w:spacing w:after="120" w:before="0"/>
              <w:jc w:val="left"/>
            </w:pPr>
            <w:r>
              <w:rPr>
                <w:rFonts w:ascii="Calibri" w:cs="Calibri" w:eastAsia="Calibri" w:hAnsi="Calibri"/>
                <w:b w:val="false"/>
                <w:bCs w:val="false"/>
                <w:i w:val="false"/>
                <w:iCs w:val="false"/>
                <w:color w:val="555555"/>
                <w:sz w:val="19"/>
                <w:szCs w:val="19"/>
              </w:rPr>
              <w:t xml:space="preserve">• MINEDU (2019). Orientaciones para la atención educativa de estudiantes con TEA.</w:t>
            </w:r>
          </w:p>
          <w:p>
            <w:pPr>
              <w:spacing w:after="120" w:before="0"/>
              <w:jc w:val="left"/>
            </w:pPr>
            <w:r>
              <w:rPr>
                <w:rFonts w:ascii="Calibri" w:cs="Calibri" w:eastAsia="Calibri" w:hAnsi="Calibri"/>
                <w:b w:val="false"/>
                <w:bCs w:val="false"/>
                <w:i w:val="false"/>
                <w:iCs w:val="false"/>
                <w:color w:val="555555"/>
                <w:sz w:val="19"/>
                <w:szCs w:val="19"/>
              </w:rPr>
              <w:t xml:space="preserve">• MINEDU (2021). Guía de Adaptaciones Curriculares para la Educación Inclusiva.</w:t>
            </w:r>
          </w:p>
          <w:p>
            <w:pPr>
              <w:spacing w:after="20" w:before="20"/>
              <w:jc w:val="left"/>
            </w:pPr>
            <w:r>
              <w:rPr>
                <w:rFonts w:ascii="Calibri" w:cs="Calibri" w:eastAsia="Calibri" w:hAnsi="Calibri"/>
                <w:b/>
                <w:bCs/>
                <w:i w:val="false"/>
                <w:iCs w:val="false"/>
                <w:color w:val="1A2E5A"/>
                <w:sz w:val="21"/>
                <w:szCs w:val="21"/>
              </w:rPr>
              <w:t xml:space="preserve">Referencias científicas y pedagógicas:</w:t>
            </w:r>
          </w:p>
          <w:p>
            <w:pPr>
              <w:spacing w:after="120" w:before="0"/>
              <w:jc w:val="left"/>
            </w:pPr>
            <w:r>
              <w:rPr>
                <w:rFonts w:ascii="Calibri" w:cs="Calibri" w:eastAsia="Calibri" w:hAnsi="Calibri"/>
                <w:b w:val="false"/>
                <w:bCs w:val="false"/>
                <w:i w:val="false"/>
                <w:iCs w:val="false"/>
                <w:color w:val="555555"/>
                <w:sz w:val="19"/>
                <w:szCs w:val="19"/>
              </w:rPr>
              <w:t xml:space="preserve">• American Psychiatric Association. (2013). DSM-5: Diagnostic and Statistical Manual of Mental Disorders (5.ª ed.).</w:t>
            </w:r>
          </w:p>
          <w:p>
            <w:pPr>
              <w:spacing w:after="120" w:before="0"/>
              <w:jc w:val="left"/>
            </w:pPr>
            <w:r>
              <w:rPr>
                <w:rFonts w:ascii="Calibri" w:cs="Calibri" w:eastAsia="Calibri" w:hAnsi="Calibri"/>
                <w:b w:val="false"/>
                <w:bCs w:val="false"/>
                <w:i w:val="false"/>
                <w:iCs w:val="false"/>
                <w:color w:val="555555"/>
                <w:sz w:val="19"/>
                <w:szCs w:val="19"/>
              </w:rPr>
              <w:t xml:space="preserve">• Escudero, L. (2016). Promoting Successful Inclusion of Children with Disabilities in Peruvian Schools. McGill University.</w:t>
            </w:r>
          </w:p>
          <w:p>
            <w:pPr>
              <w:spacing w:after="120" w:before="0"/>
              <w:jc w:val="left"/>
            </w:pPr>
            <w:r>
              <w:rPr>
                <w:rFonts w:ascii="Calibri" w:cs="Calibri" w:eastAsia="Calibri" w:hAnsi="Calibri"/>
                <w:b w:val="false"/>
                <w:bCs w:val="false"/>
                <w:i w:val="false"/>
                <w:iCs w:val="false"/>
                <w:color w:val="555555"/>
                <w:sz w:val="19"/>
                <w:szCs w:val="19"/>
              </w:rPr>
              <w:t xml:space="preserve">• Escudero, L. (2015–2021). Special Education Practice for ASD. English Montreal School Board.</w:t>
            </w:r>
          </w:p>
          <w:p>
            <w:pPr>
              <w:spacing w:after="120" w:before="0"/>
              <w:jc w:val="left"/>
            </w:pPr>
            <w:r>
              <w:rPr>
                <w:rFonts w:ascii="Calibri" w:cs="Calibri" w:eastAsia="Calibri" w:hAnsi="Calibri"/>
                <w:b w:val="false"/>
                <w:bCs w:val="false"/>
                <w:i w:val="false"/>
                <w:iCs w:val="false"/>
                <w:color w:val="555555"/>
                <w:sz w:val="19"/>
                <w:szCs w:val="19"/>
              </w:rPr>
              <w:t xml:space="preserve">• TEACCH® Autism Program. (2025). Functional Behaviour Assessment. University of North Carolina.</w:t>
            </w:r>
          </w:p>
          <w:p>
            <w:pPr>
              <w:spacing w:after="120" w:before="0"/>
              <w:jc w:val="left"/>
            </w:pPr>
            <w:r>
              <w:rPr>
                <w:rFonts w:ascii="Calibri" w:cs="Calibri" w:eastAsia="Calibri" w:hAnsi="Calibri"/>
                <w:b w:val="false"/>
                <w:bCs w:val="false"/>
                <w:i w:val="false"/>
                <w:iCs w:val="false"/>
                <w:color w:val="555555"/>
                <w:sz w:val="19"/>
                <w:szCs w:val="19"/>
              </w:rPr>
              <w:t xml:space="preserve">• Corazon Spectrum – Educa Spectrum (2024). Guía para padres sobre neurodiversidad.</w:t>
            </w:r>
          </w:p>
          <w:p>
            <w:pPr>
              <w:spacing w:after="0" w:before="20"/>
            </w:pPr>
            <w:r>
              <w:rPr>
                <w:rFonts w:ascii="Calibri" w:cs="Calibri" w:eastAsia="Calibri" w:hAnsi="Calibri"/>
                <w:b w:val="false"/>
                <w:bCs w:val="false"/>
                <w:i w:val="false"/>
                <w:iCs w:val="false"/>
                <w:color w:val="263238"/>
                <w:sz w:val="22"/>
                <w:szCs w:val="22"/>
              </w:rPr>
              <w:t xml:space="preserve"/>
            </w:r>
          </w:p>
          <w:p>
            <w:pPr>
              <w:spacing w:after="8" w:before="0"/>
              <w:jc w:val="left"/>
            </w:pPr>
            <w:r>
              <w:rPr>
                <w:rFonts w:ascii="Calibri" w:cs="Calibri" w:eastAsia="Calibri" w:hAnsi="Calibri"/>
                <w:b/>
                <w:bCs/>
                <w:i w:val="false"/>
                <w:iCs w:val="false"/>
                <w:color w:val="1A2E5A"/>
                <w:sz w:val="19"/>
                <w:szCs w:val="19"/>
              </w:rPr>
              <w:t xml:space="preserve">Guía diseñada y elaborada por Educa Spectrum Consultoria  ·  educaspectrum.com  ·  2025</w:t>
            </w:r>
          </w:p>
          <w:p>
            <w:pPr>
              <w:spacing w:after="120" w:before="0"/>
              <w:jc w:val="left"/>
            </w:pPr>
            <w:r>
              <w:rPr>
                <w:rFonts w:ascii="Calibri" w:cs="Calibri" w:eastAsia="Calibri" w:hAnsi="Calibri"/>
                <w:b w:val="false"/>
                <w:bCs w:val="false"/>
                <w:i/>
                <w:iCs/>
                <w:color w:val="AAAAAA"/>
                <w:sz w:val="18"/>
                <w:szCs w:val="18"/>
              </w:rPr>
              <w:t xml:space="preserve">Puede compartirse y reproducirse libremente para uso familiar y educativo no comercial, citando la fuente.</w:t>
            </w:r>
          </w:p>
        </w:tc>
      </w:tr>
    </w:tbl>
    <w:sectPr>
      <w:headerReference w:type="default" r:id="rId7"/>
      <w:footerReference w:type="default" r:id="rId8"/>
      <w:pgSz w:w="12240" w:h="15840" w:orient="portrait"/>
      <w:pgMar w:top="900" w:right="1080" w:bottom="90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0F2F1" w:sz="4" w:space="2"/>
      </w:pBdr>
      <w:tabs>
        <w:tab w:val="right" w:pos="9026"/>
      </w:tabs>
      <w:spacing w:after="20" w:before="60"/>
    </w:pPr>
    <w:r>
      <w:rPr>
        <w:rFonts w:ascii="Calibri" w:cs="Calibri" w:eastAsia="Calibri" w:hAnsi="Calibri"/>
        <w:b w:val="false"/>
        <w:bCs w:val="false"/>
        <w:i/>
        <w:iCs/>
        <w:color w:val="AAAAAA"/>
        <w:sz w:val="16"/>
        <w:szCs w:val="16"/>
      </w:rPr>
      <w:t xml:space="preserve">Tu hijo/a ya tiene lo más importante: una familia que lo busca y lo cuida.</w:t>
    </w:r>
    <w:r>
      <w:rPr>
        <w:rFonts w:ascii="Calibri" w:cs="Calibri" w:eastAsia="Calibri" w:hAnsi="Calibri"/>
        <w:b w:val="false"/>
        <w:bCs w:val="false"/>
        <w:i w:val="false"/>
        <w:iCs w:val="false"/>
        <w:color w:val="263238"/>
        <w:sz w:val="16"/>
        <w:szCs w:val="16"/>
      </w:rPr>
      <w:t xml:space="preserve">	</w:t>
    </w:r>
    <w:r>
      <w:rPr>
        <w:rFonts w:ascii="Calibri" w:cs="Calibri" w:eastAsia="Calibri" w:hAnsi="Calibri"/>
        <w:b w:val="false"/>
        <w:bCs w:val="false"/>
        <w:i w:val="false"/>
        <w:iCs w:val="false"/>
        <w:color w:val="00897B"/>
        <w:sz w:val="16"/>
        <w:szCs w:val="16"/>
      </w:rPr>
      <w:t xml:space="preserve">educaspectrum.com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5500"/>
      <w:gridCol w:w="3860"/>
    </w:tblGrid>
    <w:tr>
      <w:tc>
        <w:tcPr>
          <w:tcW w:type="dxa" w:w="5500"/>
          <w:tcBorders>
            <w:top w:val="none" w:color="FFFFFF" w:sz="0"/>
            <w:left w:val="none" w:color="FFFFFF" w:sz="0"/>
            <w:bottom w:val="none" w:color="FFFFFF" w:sz="0"/>
            <w:right w:val="none" w:color="FFFFFF" w:sz="0"/>
          </w:tcBorders>
          <w:shd w:fill="FFFFFF" w:val="clear"/>
          <w:tcMar>
            <w:top w:type="dxa" w:w="40"/>
            <w:left w:type="dxa" w:w="160"/>
            <w:bottom w:type="dxa" w:w="40"/>
            <w:right w:type="dxa" w:w="160"/>
          </w:tcMar>
          <w:vAlign w:val="top"/>
        </w:tcPr>
        <w:p>
          <w:pPr>
            <w:spacing w:after="100" w:before="20"/>
            <w:jc w:val="left"/>
          </w:pPr>
          <w:r>
            <w:rPr>
              <w:rFonts w:ascii="Calibri" w:cs="Calibri" w:eastAsia="Calibri" w:hAnsi="Calibri"/>
              <w:b/>
              <w:bCs/>
              <w:i w:val="false"/>
              <w:iCs w:val="false"/>
              <w:color w:val="00695C"/>
              <w:sz w:val="32"/>
              <w:szCs w:val="32"/>
            </w:rPr>
            <w:t xml:space="preserve">✦ EDUCA </w:t>
          </w:r>
          <w:r>
            <w:rPr>
              <w:rFonts w:ascii="Calibri" w:cs="Calibri" w:eastAsia="Calibri" w:hAnsi="Calibri"/>
              <w:b/>
              <w:bCs/>
              <w:i w:val="false"/>
              <w:iCs w:val="false"/>
              <w:color w:val="E8352A"/>
              <w:sz w:val="32"/>
              <w:szCs w:val="32"/>
            </w:rPr>
            <w:t xml:space="preserve">SPECTRUM</w:t>
          </w:r>
        </w:p>
        <w:p>
          <w:pPr>
            <w:spacing w:after="20" w:before="0"/>
            <w:jc w:val="left"/>
          </w:pPr>
          <w:r>
            <w:rPr>
              <w:rFonts w:ascii="Calibri" w:cs="Calibri" w:eastAsia="Calibri" w:hAnsi="Calibri"/>
              <w:b w:val="false"/>
              <w:bCs w:val="false"/>
              <w:i/>
              <w:iCs/>
              <w:color w:val="555555"/>
              <w:sz w:val="17"/>
              <w:szCs w:val="17"/>
            </w:rPr>
            <w:t xml:space="preserve">Conectando mundos, creando futuros.</w:t>
          </w:r>
        </w:p>
      </w:tc>
      <w:tc>
        <w:tcPr>
          <w:tcW w:type="dxa" w:w="3860"/>
          <w:tcBorders>
            <w:top w:val="none" w:color="FFFFFF" w:sz="0"/>
            <w:left w:val="none" w:color="FFFFFF" w:sz="0"/>
            <w:bottom w:val="none" w:color="FFFFFF" w:sz="0"/>
            <w:right w:val="none" w:color="FFFFFF" w:sz="0"/>
          </w:tcBorders>
          <w:shd w:fill="FFFFFF" w:val="clear"/>
          <w:tcMar>
            <w:top w:type="dxa" w:w="40"/>
            <w:left w:type="dxa" w:w="160"/>
            <w:bottom w:type="dxa" w:w="40"/>
            <w:right w:type="dxa" w:w="160"/>
          </w:tcMar>
          <w:vAlign w:val="top"/>
        </w:tcPr>
        <w:p>
          <w:pPr>
            <w:spacing w:after="100" w:before="20"/>
            <w:jc w:val="left"/>
          </w:pPr>
          <w:r>
            <w:rPr>
              <w:rFonts w:ascii="Calibri" w:cs="Calibri" w:eastAsia="Calibri" w:hAnsi="Calibri"/>
              <w:b/>
              <w:bCs/>
              <w:i w:val="false"/>
              <w:iCs w:val="false"/>
              <w:color w:val="1A2E5A"/>
              <w:sz w:val="19"/>
              <w:szCs w:val="19"/>
            </w:rPr>
            <w:t xml:space="preserve">Guía para Familias con Diagnóstico TEA</w:t>
          </w:r>
        </w:p>
        <w:p>
          <w:pPr>
            <w:spacing w:after="20" w:before="0"/>
            <w:jc w:val="left"/>
          </w:pPr>
          <w:r>
            <w:rPr>
              <w:rFonts w:ascii="Calibri" w:cs="Calibri" w:eastAsia="Calibri" w:hAnsi="Calibri"/>
              <w:b w:val="false"/>
              <w:bCs w:val="false"/>
              <w:i/>
              <w:iCs/>
              <w:color w:val="00897B"/>
              <w:sz w:val="17"/>
              <w:szCs w:val="17"/>
            </w:rPr>
            <w:t xml:space="preserve">Tu primer paso ya lo diste: estás aquí.</w:t>
          </w:r>
        </w:p>
      </w:tc>
    </w:tr>
  </w:tbl>
  <w:p>
    <w:pPr>
      <w:pBdr>
        <w:bottom w:val="single" w:color="00897B" w:sz="10" w:space="2"/>
      </w:pBdr>
      <w:spacing w:after="60" w:before="20"/>
    </w:pPr>
    <w:r>
      <w:rPr>
        <w:rFonts w:ascii="Calibri" w:cs="Calibri" w:eastAsia="Calibri" w:hAnsi="Calibri"/>
        <w:b w:val="false"/>
        <w:bCs w:val="false"/>
        <w:i w:val="false"/>
        <w:iCs w:val="false"/>
        <w:color w:val="263238"/>
        <w:sz w:val="22"/>
        <w:szCs w:val="22"/>
      </w:rPr>
      <w:t xml:space="preserv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2026-03-15T17:45:00.836Z</dcterms:created>
  <dcterms:modified xsi:type="dcterms:W3CDTF">2026-03-15T17:45:00.837Z</dcterms:modified>
</cp:coreProperties>
</file>

<file path=docProps/custom.xml><?xml version="1.0" encoding="utf-8"?>
<Properties xmlns="http://schemas.openxmlformats.org/officeDocument/2006/custom-properties" xmlns:vt="http://schemas.openxmlformats.org/officeDocument/2006/docPropsVTypes"/>
</file>